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Target journal: Agricultural systems or or Agriculture and Human Values or Journal of Environmental Management or Journal of Agriculture, Food Systems, and Community Development (2.4)</w:t>
      </w:r>
    </w:p>
    <w:p w:rsidR="00000000" w:rsidDel="00000000" w:rsidP="00000000" w:rsidRDefault="00000000" w:rsidRPr="00000000" w14:paraId="00000002">
      <w:pPr>
        <w:numPr>
          <w:ilvl w:val="0"/>
          <w:numId w:val="1"/>
        </w:numPr>
        <w:ind w:left="720" w:hanging="360"/>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AS submission guidelines</w:t>
        </w:r>
      </w:hyperlink>
      <w:r w:rsidDel="00000000" w:rsidR="00000000" w:rsidRPr="00000000">
        <w:rPr>
          <w:rFonts w:ascii="Times New Roman" w:cs="Times New Roman" w:eastAsia="Times New Roman" w:hAnsi="Times New Roman"/>
          <w:sz w:val="24"/>
          <w:szCs w:val="24"/>
          <w:rtl w:val="0"/>
        </w:rPr>
        <w:t xml:space="preserve">: max 10,000 words </w:t>
      </w:r>
    </w:p>
    <w:p w:rsidR="00000000" w:rsidDel="00000000" w:rsidP="00000000" w:rsidRDefault="00000000" w:rsidRPr="00000000" w14:paraId="00000003">
      <w:pPr>
        <w:numPr>
          <w:ilvl w:val="0"/>
          <w:numId w:val="1"/>
        </w:numPr>
        <w:ind w:left="720" w:hanging="36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JEM</w:t>
        </w:r>
      </w:hyperlink>
      <w:r w:rsidDel="00000000" w:rsidR="00000000" w:rsidRPr="00000000">
        <w:rPr>
          <w:rFonts w:ascii="Times New Roman" w:cs="Times New Roman" w:eastAsia="Times New Roman" w:hAnsi="Times New Roman"/>
          <w:sz w:val="24"/>
          <w:szCs w:val="24"/>
          <w:rtl w:val="0"/>
        </w:rPr>
        <w:t xml:space="preserve">: no word limit but LaTeX template</w:t>
      </w:r>
    </w:p>
    <w:p w:rsidR="00000000" w:rsidDel="00000000" w:rsidP="00000000" w:rsidRDefault="00000000" w:rsidRPr="00000000" w14:paraId="0000000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Food policy?</w:t>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 names: 1. Wood, Liza; 2. Zystro, Jared; 2. Hubbard, Kiki</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Affiliations: 1. University of California, Davis; 2. Organic Seed Alliance</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 Liza Wood, belwood@ucdavis.edu</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Address: 1. One Shields Ave, Davis CA 95616; 2.</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Heading1"/>
        <w:rPr/>
      </w:pPr>
      <w:bookmarkStart w:colFirst="0" w:colLast="0" w:name="_h3422mbbr9o6" w:id="0"/>
      <w:bookmarkEnd w:id="0"/>
      <w:r w:rsidDel="00000000" w:rsidR="00000000" w:rsidRPr="00000000">
        <w:rPr>
          <w:rtl w:val="0"/>
        </w:rPr>
        <w:t xml:space="preserve">Environmental policy flexibility is a double-edged sword: The case of the seed loophole in certified organic production</w:t>
      </w:r>
    </w:p>
    <w:p w:rsidR="00000000" w:rsidDel="00000000" w:rsidP="00000000" w:rsidRDefault="00000000" w:rsidRPr="00000000" w14:paraId="0000001E">
      <w:pPr>
        <w:pStyle w:val="Heading2"/>
        <w:rPr>
          <w:rFonts w:ascii="Times New Roman" w:cs="Times New Roman" w:eastAsia="Times New Roman" w:hAnsi="Times New Roman"/>
        </w:rPr>
      </w:pPr>
      <w:bookmarkStart w:colFirst="0" w:colLast="0" w:name="_844ambv7x0z1" w:id="1"/>
      <w:bookmarkEnd w:id="1"/>
      <w:r w:rsidDel="00000000" w:rsidR="00000000" w:rsidRPr="00000000">
        <w:rPr>
          <w:rFonts w:ascii="Times New Roman" w:cs="Times New Roman" w:eastAsia="Times New Roman" w:hAnsi="Times New Roman"/>
          <w:rtl w:val="0"/>
        </w:rPr>
        <w:t xml:space="preserve">1. Introduction</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Effective environmental policy has to walk the line between being stringent enough to improve environmental outcomes, while also flexible enough so that the policies don't backfire (Barreiro-Hurle et al. 2023; Sunstein 2017). Overly stringent policies may cause industries to opt-out/exit or find methods for 'creative non-compliance'. However, overly flexible policies can also be taken advantage of, enabling industries to shirk responsibilities, or create uncertainties about participation. Broadly, the goal is to find the right mix and balance of policies that encourages industry to participate and comply, while reducing uncertainty that environmental targets will be met. </w:t>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In this paper we study how farmers respond to a flexible environmental policy setting, particularly </w:t>
      </w:r>
      <w:r w:rsidDel="00000000" w:rsidR="00000000" w:rsidRPr="00000000">
        <w:rPr>
          <w:rFonts w:ascii="Times New Roman" w:cs="Times New Roman" w:eastAsia="Times New Roman" w:hAnsi="Times New Roman"/>
          <w:i w:val="1"/>
          <w:sz w:val="24"/>
          <w:szCs w:val="24"/>
          <w:rtl w:val="0"/>
        </w:rPr>
        <w:t xml:space="preserve">exceptions</w:t>
      </w:r>
      <w:r w:rsidDel="00000000" w:rsidR="00000000" w:rsidRPr="00000000">
        <w:rPr>
          <w:rFonts w:ascii="Times New Roman" w:cs="Times New Roman" w:eastAsia="Times New Roman" w:hAnsi="Times New Roman"/>
          <w:sz w:val="24"/>
          <w:szCs w:val="24"/>
          <w:rtl w:val="0"/>
        </w:rPr>
        <w:t xml:space="preserve"> to requirements in a voluntary policy setting. It is in this context that we ask: </w:t>
      </w:r>
      <w:r w:rsidDel="00000000" w:rsidR="00000000" w:rsidRPr="00000000">
        <w:rPr>
          <w:rFonts w:ascii="Times New Roman" w:cs="Times New Roman" w:eastAsia="Times New Roman" w:hAnsi="Times New Roman"/>
          <w:b w:val="1"/>
          <w:sz w:val="24"/>
          <w:szCs w:val="24"/>
          <w:rtl w:val="0"/>
        </w:rPr>
        <w:t xml:space="preserve">Do flexible environmental standards (policy exceptions) spare farmers from undue burden, or enable laggards to remain laggards? / Who benefits from flexible environmental regulation?</w:t>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answer this question we use the case of the organic certification seed policy in the United States. The policy for seed sourcing under the organic certification requires growers to use certified organic seed, but permits exceptions if the variety is not "commercially available". This exception, mirrored in organic policies around the world, gives flexibility to growers with their seed sourcing to ideally limit the burden when organic seeds are unavailable. We measure organic growers' reliance on the exception based on their use of conventional seed in three cross-sections over the last fifteen years, as well as their operational attributes and perceptions about organic seed and its sourcing challenges. We model the relationship between conventional seed use and grower attributes to test hypotheses about the supportive and/or enabling effect of the flexible policy</w:t>
      </w:r>
      <w:commentRangeStart w:id="0"/>
      <w:r w:rsidDel="00000000" w:rsidR="00000000" w:rsidRPr="00000000">
        <w:rPr>
          <w:rFonts w:ascii="Times New Roman" w:cs="Times New Roman" w:eastAsia="Times New Roman" w:hAnsi="Times New Roman"/>
          <w:sz w:val="24"/>
          <w:szCs w:val="24"/>
          <w:rtl w:val="0"/>
        </w:rPr>
        <w:t xml:space="preserv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find evidence that the flexibility of the organic policy is both supporting growers who need it, as well as enabling more 'conventionalized' organic farmers. Our model finds that use of conventional seed is associated with growers who experience the highest barriers sourcing organic seed, which ultimately provides support to reduce the burden on growers. At the same time, the policy also allows a certain profile of farmers to avoid organic seed use. Farmers of this profile appear to be those that represent the 'conventionalization' of organic agriculture – larger, less diverse farm operations who don't see organic seed as important for the success or integrity of organic production.</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Implications: Policy design needs to account for different motivations in use. For organic, this means…</w:t>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pStyle w:val="Heading2"/>
        <w:rPr>
          <w:rFonts w:ascii="Times New Roman" w:cs="Times New Roman" w:eastAsia="Times New Roman" w:hAnsi="Times New Roman"/>
        </w:rPr>
      </w:pPr>
      <w:bookmarkStart w:colFirst="0" w:colLast="0" w:name="_t04gef7hrffp" w:id="2"/>
      <w:bookmarkEnd w:id="2"/>
      <w:r w:rsidDel="00000000" w:rsidR="00000000" w:rsidRPr="00000000">
        <w:rPr>
          <w:rFonts w:ascii="Times New Roman" w:cs="Times New Roman" w:eastAsia="Times New Roman" w:hAnsi="Times New Roman"/>
          <w:rtl w:val="0"/>
        </w:rPr>
        <w:t xml:space="preserve">2. Background</w:t>
      </w:r>
    </w:p>
    <w:p w:rsidR="00000000" w:rsidDel="00000000" w:rsidP="00000000" w:rsidRDefault="00000000" w:rsidRPr="00000000" w14:paraId="0000002B">
      <w:pPr>
        <w:pStyle w:val="Heading3"/>
        <w:rPr>
          <w:rFonts w:ascii="Times New Roman" w:cs="Times New Roman" w:eastAsia="Times New Roman" w:hAnsi="Times New Roman"/>
        </w:rPr>
      </w:pPr>
      <w:bookmarkStart w:colFirst="0" w:colLast="0" w:name="_s6expd1vk116" w:id="3"/>
      <w:bookmarkEnd w:id="3"/>
      <w:r w:rsidDel="00000000" w:rsidR="00000000" w:rsidRPr="00000000">
        <w:rPr>
          <w:rFonts w:ascii="Times New Roman" w:cs="Times New Roman" w:eastAsia="Times New Roman" w:hAnsi="Times New Roman"/>
          <w:rtl w:val="0"/>
        </w:rPr>
        <w:t xml:space="preserve">2.1 Environmental policy flexibility</w:t>
      </w:r>
    </w:p>
    <w:p w:rsidR="00000000" w:rsidDel="00000000" w:rsidP="00000000" w:rsidRDefault="00000000" w:rsidRPr="00000000" w14:paraId="0000002C">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Environmental regulation has to strike a balance between stringency and flexibility. Stringent environmental policies often take the command and control approach, where firms are required to meet specific criteria such as defined contributions, reduction targets, or technology standards (Barreiro-Hurle et al. 2023; Pettersson and Soderholm 2014). These types of regulatory measures reduce uncertainty in the achievement of environmental outcomes so long as enforcement is in place (Pineiro et al. 2020). However, stringency has its drawbacks. The increase of regulation may reduce competitiveness of firms (), counteract voluntary behavior (Barreiro-Hurle et al. 2023), and prompt relocation to an area with more lenient policies or resistance/creative non-compliance (e.g. in the agricultural sector) (Bartel and Barclay 2011). </w:t>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Flexible environmental policies, on the other hand, use a range of tools to motivate firms via incentives to improve environmental outcomes (Pineiro et al. 2020), and at times permit exceptions/derogations if the regulation is overly burdensome (Romero-Castro et al. 2022). The benefits of flexible policies include reduced tension between firms and government (), as well as room for innovation to ultimately improve environmental protection (Porter and van der Linde ; Loonie et al. 2011). The drawback of flexible policy tools, however, is that participation can be low, adherence needs to be monitored to avoid free-riding (Prakash and Poroski 2007), and there is considerable uncertainty of environmental protection gains (Stuart et al. 2014). Furthermore, vague criteria for exceptions/derogations like the use of 'best available technology' or waiting on 'commercial availability' gives wide latitude to firms/puts discretion in the firms' hands (Romero-Castro et al. 2022)</w:t>
      </w:r>
      <w:commentRangeStart w:id="1"/>
      <w:r w:rsidDel="00000000" w:rsidR="00000000" w:rsidRPr="00000000">
        <w:rPr>
          <w:rFonts w:ascii="Times New Roman" w:cs="Times New Roman" w:eastAsia="Times New Roman" w:hAnsi="Times New Roman"/>
          <w:sz w:val="24"/>
          <w:szCs w:val="24"/>
          <w:rtl w:val="0"/>
        </w:rPr>
        <w:t xml:space="preserv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paper is particularly interested in environmental policy that provides </w:t>
      </w:r>
      <w:commentRangeStart w:id="2"/>
      <w:r w:rsidDel="00000000" w:rsidR="00000000" w:rsidRPr="00000000">
        <w:rPr>
          <w:rFonts w:ascii="Times New Roman" w:cs="Times New Roman" w:eastAsia="Times New Roman" w:hAnsi="Times New Roman"/>
          <w:sz w:val="24"/>
          <w:szCs w:val="24"/>
          <w:rtl w:val="0"/>
        </w:rPr>
        <w:t xml:space="preserve">flexibility</w:t>
      </w:r>
      <w:commentRangeEnd w:id="2"/>
      <w:r w:rsidDel="00000000" w:rsidR="00000000" w:rsidRPr="00000000">
        <w:commentReference w:id="2"/>
      </w:r>
      <w:r w:rsidDel="00000000" w:rsidR="00000000" w:rsidRPr="00000000">
        <w:rPr>
          <w:rFonts w:ascii="Times New Roman" w:cs="Times New Roman" w:eastAsia="Times New Roman" w:hAnsi="Times New Roman"/>
          <w:sz w:val="24"/>
          <w:szCs w:val="24"/>
          <w:rtl w:val="0"/>
        </w:rPr>
        <w:t xml:space="preserve"> in the form of exceptions/derogations. For example, the EU industrial emissions directive mandates firms to reduce emissions using 'best available technology', but grant derogations if the costs of complying (as calculated by the firm) are too high (Romero-Castro et al. 2022, Soderholm et al. 2021)</w:t>
      </w:r>
      <w:commentRangeStart w:id="3"/>
      <w:r w:rsidDel="00000000" w:rsidR="00000000" w:rsidRPr="00000000">
        <w:rPr>
          <w:rFonts w:ascii="Times New Roman" w:cs="Times New Roman" w:eastAsia="Times New Roman" w:hAnsi="Times New Roman"/>
          <w:sz w:val="24"/>
          <w:szCs w:val="24"/>
          <w:rtl w:val="0"/>
        </w:rPr>
        <w:t xml:space="preserve">.</w:t>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In the United States, regulation of manure discharge by animal feeding operations has several exceptions based on size, nutrient management plans, and affected waterways (Rosov et al. 2020). Who takes advantage of these derogations and how they affect environmental outcomes is an open question. </w:t>
      </w:r>
    </w:p>
    <w:p w:rsidR="00000000" w:rsidDel="00000000" w:rsidP="00000000" w:rsidRDefault="00000000" w:rsidRPr="00000000" w14:paraId="00000031">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Do flexible environmental standards spare firms from undue burden, or enable laggards to remain laggards? / Who benefits from flexible environmental regulation? </w:t>
      </w:r>
      <w:r w:rsidDel="00000000" w:rsidR="00000000" w:rsidRPr="00000000">
        <w:rPr>
          <w:rFonts w:ascii="Times New Roman" w:cs="Times New Roman" w:eastAsia="Times New Roman" w:hAnsi="Times New Roman"/>
          <w:sz w:val="24"/>
          <w:szCs w:val="24"/>
          <w:rtl w:val="0"/>
        </w:rPr>
        <w:t xml:space="preserve">[ say something about laggards/shirkers ] </w:t>
      </w:r>
      <w:r w:rsidDel="00000000" w:rsidR="00000000" w:rsidRPr="00000000">
        <w:rPr>
          <w:rtl w:val="0"/>
        </w:rPr>
      </w:r>
    </w:p>
    <w:p w:rsidR="00000000" w:rsidDel="00000000" w:rsidP="00000000" w:rsidRDefault="00000000" w:rsidRPr="00000000" w14:paraId="00000033">
      <w:pPr>
        <w:pStyle w:val="Heading3"/>
        <w:rPr>
          <w:rFonts w:ascii="Times New Roman" w:cs="Times New Roman" w:eastAsia="Times New Roman" w:hAnsi="Times New Roman"/>
        </w:rPr>
      </w:pPr>
      <w:bookmarkStart w:colFirst="0" w:colLast="0" w:name="_tn8hokqoemkc" w:id="4"/>
      <w:bookmarkEnd w:id="4"/>
      <w:r w:rsidDel="00000000" w:rsidR="00000000" w:rsidRPr="00000000">
        <w:rPr>
          <w:rFonts w:ascii="Times New Roman" w:cs="Times New Roman" w:eastAsia="Times New Roman" w:hAnsi="Times New Roman"/>
          <w:rtl w:val="0"/>
        </w:rPr>
        <w:t xml:space="preserve">2.2 Organic agricultural standards</w:t>
      </w:r>
    </w:p>
    <w:p w:rsidR="00000000" w:rsidDel="00000000" w:rsidP="00000000" w:rsidRDefault="00000000" w:rsidRPr="00000000" w14:paraId="00000034">
      <w:pPr>
        <w:pStyle w:val="Heading4"/>
        <w:rPr>
          <w:rFonts w:ascii="Times New Roman" w:cs="Times New Roman" w:eastAsia="Times New Roman" w:hAnsi="Times New Roman"/>
        </w:rPr>
      </w:pPr>
      <w:bookmarkStart w:colFirst="0" w:colLast="0" w:name="_h4cz1dftx374" w:id="5"/>
      <w:bookmarkEnd w:id="5"/>
      <w:r w:rsidDel="00000000" w:rsidR="00000000" w:rsidRPr="00000000">
        <w:rPr>
          <w:rFonts w:ascii="Times New Roman" w:cs="Times New Roman" w:eastAsia="Times New Roman" w:hAnsi="Times New Roman"/>
          <w:b w:val="1"/>
          <w:rtl w:val="0"/>
        </w:rPr>
        <w:t xml:space="preserve">2.2.1 </w:t>
      </w:r>
      <w:r w:rsidDel="00000000" w:rsidR="00000000" w:rsidRPr="00000000">
        <w:rPr>
          <w:rFonts w:ascii="Times New Roman" w:cs="Times New Roman" w:eastAsia="Times New Roman" w:hAnsi="Times New Roman"/>
          <w:sz w:val="32"/>
          <w:szCs w:val="32"/>
          <w:rtl w:val="0"/>
        </w:rPr>
        <w:t xml:space="preserve">Flexibility of organic certification</w:t>
      </w: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Policy exceptions are commonplace in organic agricultural standards. Organic certification is a voluntary program that agricultural producers and food processors opt into, and are then monitored according to the certification standards. The certification standards, however, are accompanied by listed exemptions (e.g. allowing the use of certain synthetic materials) and exceptions for using non-organic products. These exceptions are proposed to reduce excessive burdens and barriers facing growers and processors (e.g. </w:t>
      </w:r>
      <w:hyperlink r:id="rId10">
        <w:r w:rsidDel="00000000" w:rsidR="00000000" w:rsidRPr="00000000">
          <w:rPr>
            <w:rFonts w:ascii="Times New Roman" w:cs="Times New Roman" w:eastAsia="Times New Roman" w:hAnsi="Times New Roman"/>
            <w:color w:val="1155cc"/>
            <w:sz w:val="24"/>
            <w:szCs w:val="24"/>
            <w:u w:val="single"/>
            <w:rtl w:val="0"/>
          </w:rPr>
          <w:t xml:space="preserve">2004 NOSB Recommendation</w:t>
        </w:r>
      </w:hyperlink>
      <w:r w:rsidDel="00000000" w:rsidR="00000000" w:rsidRPr="00000000">
        <w:rPr>
          <w:rFonts w:ascii="Times New Roman" w:cs="Times New Roman" w:eastAsia="Times New Roman" w:hAnsi="Times New Roman"/>
          <w:sz w:val="24"/>
          <w:szCs w:val="24"/>
          <w:rtl w:val="0"/>
        </w:rPr>
        <w:t xml:space="preserve"> ; </w:t>
      </w:r>
      <w:hyperlink r:id="rId11">
        <w:r w:rsidDel="00000000" w:rsidR="00000000" w:rsidRPr="00000000">
          <w:rPr>
            <w:rFonts w:ascii="Times New Roman" w:cs="Times New Roman" w:eastAsia="Times New Roman" w:hAnsi="Times New Roman"/>
            <w:color w:val="1155cc"/>
            <w:sz w:val="24"/>
            <w:szCs w:val="24"/>
            <w:u w:val="single"/>
            <w:rtl w:val="0"/>
          </w:rPr>
          <w:t xml:space="preserve">2006 NOSB recommendation</w:t>
        </w:r>
      </w:hyperlink>
      <w:r w:rsidDel="00000000" w:rsidR="00000000" w:rsidRPr="00000000">
        <w:rPr>
          <w:rFonts w:ascii="Times New Roman" w:cs="Times New Roman" w:eastAsia="Times New Roman" w:hAnsi="Times New Roman"/>
          <w:sz w:val="24"/>
          <w:szCs w:val="24"/>
          <w:rtl w:val="0"/>
        </w:rPr>
        <w:t xml:space="preserve">) in an otherwise stringent and often challenging certification process </w:t>
      </w:r>
      <w:r w:rsidDel="00000000" w:rsidR="00000000" w:rsidRPr="00000000">
        <w:rPr>
          <w:rFonts w:ascii="Times New Roman" w:cs="Times New Roman" w:eastAsia="Times New Roman" w:hAnsi="Times New Roman"/>
          <w:rtl w:val="0"/>
        </w:rPr>
        <w:t xml:space="preserve">(Flaten et al. 2010, Carter er al. 2022). </w:t>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such exception in the organic label is related to seed sourcing. Organic standards generally require organic growers to use organic seed. However, derogations or loopholes are often put into place (Endres, Liveseed), whereby organic growers are allowed to use conventional seed if "an equivalent organically produced variety is not commercially available" (US 7 CFR § 205.204). This kind of exception codified in the United States standard is similar to organic standards around the world. For example, the UK Soil Association</w:t>
      </w:r>
      <w:r w:rsidDel="00000000" w:rsidR="00000000" w:rsidRPr="00000000">
        <w:rPr>
          <w:rFonts w:ascii="Times New Roman" w:cs="Times New Roman" w:eastAsia="Times New Roman" w:hAnsi="Times New Roman"/>
          <w:sz w:val="24"/>
          <w:szCs w:val="24"/>
          <w:vertAlign w:val="superscript"/>
        </w:rPr>
        <w:footnoteReference w:customMarkFollows="0" w:id="0"/>
      </w:r>
      <w:r w:rsidDel="00000000" w:rsidR="00000000" w:rsidRPr="00000000">
        <w:rPr>
          <w:rFonts w:ascii="Times New Roman" w:cs="Times New Roman" w:eastAsia="Times New Roman" w:hAnsi="Times New Roman"/>
          <w:sz w:val="24"/>
          <w:szCs w:val="24"/>
          <w:rtl w:val="0"/>
        </w:rPr>
        <w:t xml:space="preserve">, EU Organic Standard, and East Africa Organic Standard</w:t>
      </w:r>
      <w:r w:rsidDel="00000000" w:rsidR="00000000" w:rsidRPr="00000000">
        <w:rPr>
          <w:rFonts w:ascii="Times New Roman" w:cs="Times New Roman" w:eastAsia="Times New Roman" w:hAnsi="Times New Roman"/>
          <w:sz w:val="24"/>
          <w:szCs w:val="24"/>
          <w:vertAlign w:val="superscript"/>
        </w:rPr>
        <w:footnoteReference w:customMarkFollows="0" w:id="1"/>
      </w:r>
      <w:r w:rsidDel="00000000" w:rsidR="00000000" w:rsidRPr="00000000">
        <w:rPr>
          <w:rFonts w:ascii="Times New Roman" w:cs="Times New Roman" w:eastAsia="Times New Roman" w:hAnsi="Times New Roman"/>
          <w:sz w:val="24"/>
          <w:szCs w:val="24"/>
          <w:rtl w:val="0"/>
        </w:rPr>
        <w:t xml:space="preserve"> all have equivalent exceptions based 'availability'. </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United States, "the goal [of the exception] is to promote the continued growth and improvement in organic seed production and subsequent usage by organic growers, without hurting or putting undo [sic] burdens on growers." [see </w:t>
      </w:r>
      <w:hyperlink r:id="rId12">
        <w:r w:rsidDel="00000000" w:rsidR="00000000" w:rsidRPr="00000000">
          <w:rPr>
            <w:rFonts w:ascii="Times New Roman" w:cs="Times New Roman" w:eastAsia="Times New Roman" w:hAnsi="Times New Roman"/>
            <w:color w:val="1155cc"/>
            <w:sz w:val="24"/>
            <w:szCs w:val="24"/>
            <w:u w:val="single"/>
            <w:rtl w:val="0"/>
          </w:rPr>
          <w:t xml:space="preserve">2008 NOSB Recommendation</w:t>
        </w:r>
      </w:hyperlink>
      <w:r w:rsidDel="00000000" w:rsidR="00000000" w:rsidRPr="00000000">
        <w:rPr>
          <w:rFonts w:ascii="Times New Roman" w:cs="Times New Roman" w:eastAsia="Times New Roman" w:hAnsi="Times New Roman"/>
          <w:sz w:val="24"/>
          <w:szCs w:val="24"/>
          <w:rtl w:val="0"/>
        </w:rPr>
        <w:t xml:space="preserve">]</w:t>
      </w:r>
      <w:commentRangeStart w:id="4"/>
      <w:r w:rsidDel="00000000" w:rsidR="00000000" w:rsidRPr="00000000">
        <w:rPr>
          <w:rFonts w:ascii="Times New Roman" w:cs="Times New Roman" w:eastAsia="Times New Roman" w:hAnsi="Times New Roman"/>
          <w:sz w:val="24"/>
          <w:szCs w:val="24"/>
          <w:rtl w:val="0"/>
        </w:rPr>
        <w:t xml:space="preserve">.</w:t>
      </w:r>
      <w:commentRangeEnd w:id="4"/>
      <w:r w:rsidDel="00000000" w:rsidR="00000000" w:rsidRPr="00000000">
        <w:commentReference w:id="4"/>
      </w:r>
      <w:r w:rsidDel="00000000" w:rsidR="00000000" w:rsidRPr="00000000">
        <w:rPr>
          <w:rFonts w:ascii="Times New Roman" w:cs="Times New Roman" w:eastAsia="Times New Roman" w:hAnsi="Times New Roman"/>
          <w:sz w:val="24"/>
          <w:szCs w:val="24"/>
          <w:rtl w:val="0"/>
        </w:rPr>
        <w:t xml:space="preserve"> The intention is that this exception is designed to excuse farmers based on availability barriers. While there is evidence that the seed system is growing through increased public research spending, there </w:t>
      </w:r>
      <w:r w:rsidDel="00000000" w:rsidR="00000000" w:rsidRPr="00000000">
        <w:rPr>
          <w:rFonts w:ascii="Times New Roman" w:cs="Times New Roman" w:eastAsia="Times New Roman" w:hAnsi="Times New Roman"/>
          <w:sz w:val="24"/>
          <w:szCs w:val="24"/>
          <w:rtl w:val="0"/>
        </w:rPr>
        <w:t xml:space="preserve">is still widespread uncertainty as to how the seed loophole is used by organic growers  (Hubbard 2011, 2016, 2021). </w:t>
      </w:r>
    </w:p>
    <w:p w:rsidR="00000000" w:rsidDel="00000000" w:rsidP="00000000" w:rsidRDefault="00000000" w:rsidRPr="00000000" w14:paraId="0000003A">
      <w:pPr>
        <w:pStyle w:val="Heading4"/>
        <w:rPr>
          <w:rFonts w:ascii="Times New Roman" w:cs="Times New Roman" w:eastAsia="Times New Roman" w:hAnsi="Times New Roman"/>
          <w:sz w:val="24"/>
          <w:szCs w:val="24"/>
        </w:rPr>
      </w:pPr>
      <w:bookmarkStart w:colFirst="0" w:colLast="0" w:name="_t56fzox5lnay" w:id="6"/>
      <w:bookmarkEnd w:id="6"/>
      <w:r w:rsidDel="00000000" w:rsidR="00000000" w:rsidRPr="00000000">
        <w:rPr>
          <w:rFonts w:ascii="Times New Roman" w:cs="Times New Roman" w:eastAsia="Times New Roman" w:hAnsi="Times New Roman"/>
          <w:b w:val="1"/>
          <w:rtl w:val="0"/>
        </w:rPr>
        <w:t xml:space="preserve">2.2.2 </w:t>
      </w:r>
      <w:r w:rsidDel="00000000" w:rsidR="00000000" w:rsidRPr="00000000">
        <w:rPr>
          <w:rFonts w:ascii="Times New Roman" w:cs="Times New Roman" w:eastAsia="Times New Roman" w:hAnsi="Times New Roman"/>
          <w:sz w:val="32"/>
          <w:szCs w:val="32"/>
          <w:rtl w:val="0"/>
        </w:rPr>
        <w:t xml:space="preserve">Different models of organic farming</w:t>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an understanding of how farmers are using the organic seed loophole, we first recognize that farmers (and firms more generally) have different motivations. While securing economic returns is certainly valued across operations, this motivation exists on balance with other values and operational attributes (Prokopy et al. 2018, Floress et al. 2017). Farmers make decisions based on a gradient of values ranging from 'farm-as-business' to 'environmental stewardship', though the two are not mutually exclusive (Thompson et al. 2015, maybe dolaglu?). Additionally, operational attributes such as farm size can influence the willingness/ability to innovate. In some cases large operations may be the ones that have the resources to take on risk and experiment with new practices (</w:t>
      </w:r>
      <w:hyperlink r:id="rId13">
        <w:r w:rsidDel="00000000" w:rsidR="00000000" w:rsidRPr="00000000">
          <w:rPr>
            <w:rFonts w:ascii="Times New Roman" w:cs="Times New Roman" w:eastAsia="Times New Roman" w:hAnsi="Times New Roman"/>
            <w:vertAlign w:val="baseline"/>
            <w:rtl w:val="0"/>
          </w:rPr>
          <w:t xml:space="preserve">Feder_Umali_1993</w:t>
        </w:r>
      </w:hyperlink>
      <w:r w:rsidDel="00000000" w:rsidR="00000000" w:rsidRPr="00000000">
        <w:rPr>
          <w:rFonts w:ascii="Times New Roman" w:cs="Times New Roman" w:eastAsia="Times New Roman" w:hAnsi="Times New Roman"/>
          <w:rtl w:val="0"/>
        </w:rPr>
        <w:t xml:space="preserve">, </w:t>
      </w:r>
      <w:hyperlink r:id="rId14">
        <w:r w:rsidDel="00000000" w:rsidR="00000000" w:rsidRPr="00000000">
          <w:rPr>
            <w:rFonts w:ascii="Times New Roman" w:cs="Times New Roman" w:eastAsia="Times New Roman" w:hAnsi="Times New Roman"/>
            <w:color w:val="cc2936"/>
            <w:sz w:val="24"/>
            <w:szCs w:val="24"/>
            <w:u w:val="none"/>
            <w:rtl w:val="0"/>
          </w:rPr>
          <w:t xml:space="preserve">Dunn et al., 2016</w:t>
        </w:r>
      </w:hyperlink>
      <w:r w:rsidDel="00000000" w:rsidR="00000000" w:rsidRPr="00000000">
        <w:rPr>
          <w:rFonts w:ascii="Times New Roman" w:cs="Times New Roman" w:eastAsia="Times New Roman" w:hAnsi="Times New Roman"/>
          <w:sz w:val="24"/>
          <w:szCs w:val="24"/>
          <w:rtl w:val="0"/>
        </w:rPr>
        <w:t xml:space="preserve">), but in other cases it may hinder the willingness to try something new at a large scale, especially if there is no visible economic return (Napier 2000, </w:t>
      </w:r>
      <w:hyperlink r:id="rId15">
        <w:r w:rsidDel="00000000" w:rsidR="00000000" w:rsidRPr="00000000">
          <w:rPr>
            <w:rFonts w:ascii="Times New Roman" w:cs="Times New Roman" w:eastAsia="Times New Roman" w:hAnsi="Times New Roman"/>
            <w:vertAlign w:val="baseline"/>
            <w:rtl w:val="0"/>
          </w:rPr>
          <w:t xml:space="preserve">Buttel_Jr_Larson_1990</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Variation in grower motivations is especially prominent in organic agriculture. Organic farming practices originated as a grassroots movement, centered around holistic environmental and social farming principles </w:t>
      </w:r>
      <w:hyperlink r:id="rId16">
        <w:r w:rsidDel="00000000" w:rsidR="00000000" w:rsidRPr="00000000">
          <w:rPr>
            <w:rFonts w:ascii="Times New Roman" w:cs="Times New Roman" w:eastAsia="Times New Roman" w:hAnsi="Times New Roman"/>
            <w:color w:val="cc2936"/>
            <w:sz w:val="24"/>
            <w:szCs w:val="24"/>
            <w:u w:val="none"/>
            <w:rtl w:val="0"/>
          </w:rPr>
          <w:t xml:space="preserve">(Youngberg &amp; DeMuth, 2013)</w:t>
        </w:r>
      </w:hyperlink>
      <w:r w:rsidDel="00000000" w:rsidR="00000000" w:rsidRPr="00000000">
        <w:rPr>
          <w:rFonts w:ascii="Times New Roman" w:cs="Times New Roman" w:eastAsia="Times New Roman" w:hAnsi="Times New Roman"/>
          <w:sz w:val="24"/>
          <w:szCs w:val="24"/>
          <w:rtl w:val="0"/>
        </w:rPr>
        <w:t xml:space="preserve">. Particularly, there is an emphasis on soil health, biodiversity, social justice, and community food systems (ibid, Coleman).  But when codified into practice as certified organic standards, there was quickly a trend towards 'conventionalization' of organic</w:t>
      </w:r>
      <w:commentRangeStart w:id="5"/>
      <w:r w:rsidDel="00000000" w:rsidR="00000000" w:rsidRPr="00000000">
        <w:rPr>
          <w:rFonts w:ascii="Times New Roman" w:cs="Times New Roman" w:eastAsia="Times New Roman" w:hAnsi="Times New Roman"/>
          <w:sz w:val="24"/>
          <w:szCs w:val="24"/>
          <w:rtl w:val="0"/>
        </w:rPr>
        <w:t xml:space="preserve">.</w:t>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 In this conventionalization, growers participate in practice but not principle only to gain the price premium (Darnhofer et al. 2010, Guthman)</w:t>
      </w:r>
      <w:commentRangeStart w:id="6"/>
      <w:r w:rsidDel="00000000" w:rsidR="00000000" w:rsidRPr="00000000">
        <w:rPr>
          <w:rFonts w:ascii="Times New Roman" w:cs="Times New Roman" w:eastAsia="Times New Roman" w:hAnsi="Times New Roman"/>
          <w:sz w:val="24"/>
          <w:szCs w:val="24"/>
          <w:rtl w:val="0"/>
        </w:rPr>
        <w:t xml:space="preserve">.</w:t>
      </w:r>
      <w:commentRangeEnd w:id="6"/>
      <w:r w:rsidDel="00000000" w:rsidR="00000000" w:rsidRPr="00000000">
        <w:commentReference w:id="6"/>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division between 'principled' and  'conventionalized' organic farmers has created tension around the identity of organic farming (von Shlen 2007, Coleman 2001). This tension has come to bear throughout the process of setting and revising the certification standards, such as the bi-annual discussion of the National Organic Standards Board, where exemptions and exceptions are reviewed and updated (DuPuis). Though the division between 'principled' and  'conventionalized' organic farmers does not fully represent the diversity of farmer profiles involved in organic (Guthman, Darnhofer), they help us typify different ways that growers may be engaging with the organic standard. </w:t>
      </w:r>
      <w:r w:rsidDel="00000000" w:rsidR="00000000" w:rsidRPr="00000000">
        <w:rPr>
          <w:rtl w:val="0"/>
        </w:rPr>
      </w:r>
    </w:p>
    <w:p w:rsidR="00000000" w:rsidDel="00000000" w:rsidP="00000000" w:rsidRDefault="00000000" w:rsidRPr="00000000" w14:paraId="00000040">
      <w:pPr>
        <w:pStyle w:val="Heading2"/>
        <w:rPr>
          <w:rFonts w:ascii="Times New Roman" w:cs="Times New Roman" w:eastAsia="Times New Roman" w:hAnsi="Times New Roman"/>
        </w:rPr>
      </w:pPr>
      <w:bookmarkStart w:colFirst="0" w:colLast="0" w:name="_hhxde7nnvm0k" w:id="7"/>
      <w:bookmarkEnd w:id="7"/>
      <w:r w:rsidDel="00000000" w:rsidR="00000000" w:rsidRPr="00000000">
        <w:rPr>
          <w:rFonts w:ascii="Times New Roman" w:cs="Times New Roman" w:eastAsia="Times New Roman" w:hAnsi="Times New Roman"/>
          <w:rtl w:val="0"/>
        </w:rPr>
        <w:t xml:space="preserve">3. Hypotheses</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the case of the organic agricultural standard to ask: Do flexible environmental standards spare firms from undue burden, or enable laggards to remain laggards? / Who benefits from flexible environmental regulation? We propose two sets of hypotheses.</w:t>
      </w:r>
    </w:p>
    <w:p w:rsidR="00000000" w:rsidDel="00000000" w:rsidP="00000000" w:rsidRDefault="00000000" w:rsidRPr="00000000" w14:paraId="00000042">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proposition tests whether environmental policies add flexibility in order to reduce excessive burden on industries (that emissions one). Organic farming is certainly challenging (Sahm et al. 2012), and barriers to complete compliance are likely to be strong, especially in the early phases of the certification's establishment. As such, we should see evidence that growers who are relying on the seed loophole (i.e. planting conventional seed) are those who experience the greatest barriers to accessing organic seed. Furthermore, we expect that as the organic seed market develops over time, fewer growers are using conventional seed</w:t>
      </w:r>
      <w:commentRangeStart w:id="7"/>
      <w:r w:rsidDel="00000000" w:rsidR="00000000" w:rsidRPr="00000000">
        <w:rPr>
          <w:rFonts w:ascii="Times New Roman" w:cs="Times New Roman" w:eastAsia="Times New Roman" w:hAnsi="Times New Roman"/>
          <w:sz w:val="24"/>
          <w:szCs w:val="24"/>
          <w:rtl w:val="0"/>
        </w:rPr>
        <w:t xml:space="preserve">.</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Together, we put forth the following hypotheses:</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H1a. Conventional seed use will be highest among growers experiencing more significant organic seed sourcing barriers </w:t>
      </w:r>
    </w:p>
    <w:p w:rsidR="00000000" w:rsidDel="00000000" w:rsidP="00000000" w:rsidRDefault="00000000" w:rsidRPr="00000000" w14:paraId="00000046">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H1b. Conventional seed use will decline over time</w:t>
      </w:r>
    </w:p>
    <w:p w:rsidR="00000000" w:rsidDel="00000000" w:rsidP="00000000" w:rsidRDefault="00000000" w:rsidRPr="00000000" w14:paraId="00000047">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second proposition tests whether policy flexibility enables some farmers to take advantage of the policy's leniency (Prakash; Stuart 2014). In the organic seed policy, though guidance for growers and certifiers has tried to define and operationalize the 'commercial availability' exception (NOSB 2018), there is still opportunity for shirking. We propose that those particularly inclined to take advantage of its leniency are farmers fitting the 'conventionalized' profile, given that they have little principled motivation to adopt organic seed. In this case, we expect to see evidence that growers relying on the seed loophole are those who align with that profile – farmers who place low value on organic integrity and have operations that resemble conventional farms: large acreage and low crop diversity. Together, we put forth the following hypotheses:</w:t>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H2a. Conventional seed use will be highest among those with who place low value on organic seeds' contribution to organic integrity</w:t>
      </w:r>
    </w:p>
    <w:p w:rsidR="00000000" w:rsidDel="00000000" w:rsidP="00000000" w:rsidRDefault="00000000" w:rsidRPr="00000000" w14:paraId="0000004B">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H2b. Conventional seed use will be highest on large farms</w:t>
      </w:r>
    </w:p>
    <w:p w:rsidR="00000000" w:rsidDel="00000000" w:rsidP="00000000" w:rsidRDefault="00000000" w:rsidRPr="00000000" w14:paraId="0000004C">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H2c. Conventional seed use will be highest on low-diversity farms</w:t>
      </w:r>
    </w:p>
    <w:p w:rsidR="00000000" w:rsidDel="00000000" w:rsidP="00000000" w:rsidRDefault="00000000" w:rsidRPr="00000000" w14:paraId="0000004D">
      <w:pPr>
        <w:pStyle w:val="Heading2"/>
        <w:rPr>
          <w:rFonts w:ascii="Times New Roman" w:cs="Times New Roman" w:eastAsia="Times New Roman" w:hAnsi="Times New Roman"/>
        </w:rPr>
      </w:pPr>
      <w:bookmarkStart w:colFirst="0" w:colLast="0" w:name="_tll6h5y4j1rc" w:id="8"/>
      <w:bookmarkEnd w:id="8"/>
      <w:r w:rsidDel="00000000" w:rsidR="00000000" w:rsidRPr="00000000">
        <w:rPr>
          <w:rFonts w:ascii="Times New Roman" w:cs="Times New Roman" w:eastAsia="Times New Roman" w:hAnsi="Times New Roman"/>
          <w:rtl w:val="0"/>
        </w:rPr>
        <w:t xml:space="preserve">4. Empirical approach </w:t>
      </w:r>
    </w:p>
    <w:p w:rsidR="00000000" w:rsidDel="00000000" w:rsidP="00000000" w:rsidRDefault="00000000" w:rsidRPr="00000000" w14:paraId="0000004E">
      <w:pPr>
        <w:pStyle w:val="Heading3"/>
        <w:rPr>
          <w:rFonts w:ascii="Times New Roman" w:cs="Times New Roman" w:eastAsia="Times New Roman" w:hAnsi="Times New Roman"/>
        </w:rPr>
      </w:pPr>
      <w:bookmarkStart w:colFirst="0" w:colLast="0" w:name="_pjev0m9lurf6" w:id="9"/>
      <w:bookmarkEnd w:id="9"/>
      <w:r w:rsidDel="00000000" w:rsidR="00000000" w:rsidRPr="00000000">
        <w:rPr>
          <w:rFonts w:ascii="Times New Roman" w:cs="Times New Roman" w:eastAsia="Times New Roman" w:hAnsi="Times New Roman"/>
          <w:rtl w:val="0"/>
        </w:rPr>
        <w:t xml:space="preserve">4.1 Case: USDA National Organic Program and organic seed</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paper we focus on the case of the US Department of Agriculture (USDA) certified organic label. The organic movement in the US began prominently organizing in the 1970s, and it is through their collective action that the Organic Foods Production Act was passed as part of the 1990 Farm Bill and ultimately ratified in 2002 (Youngberg). In the arrangement, the USDA National Organic Program (NOP) determines the standards, through they are guided by the National Organic Standards Board (NOSB) – a panel of industry representatives that meets regularly to continuously discuss exemptions, exceptions, and general guidance with input from the public.</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general idea of certified organic crop production is that growers use only biological inputs (e.g. no pesticides or genetically modified seeds) to create an agro-ecosystem with healthy soil, diverse crop rotations, and minimal environmental impact (USDA 2015). From start to finish of the organic certified supply chain, inputs should be organic to 'protect the integrity' of the label, including seeds. In practical terms, organic seeds are those that are cultivated under certified organic conditions. However, the ethic of the organic seed movement also promotes environmental and social principles. For example, organic crops ought to support the maintenance of genetic and crop diversity maintenance, be adapted to organic growing conditions, and suitable for regional environments </w:t>
      </w:r>
      <w:hyperlink r:id="rId17">
        <w:r w:rsidDel="00000000" w:rsidR="00000000" w:rsidRPr="00000000">
          <w:rPr>
            <w:rFonts w:ascii="Times New Roman" w:cs="Times New Roman" w:eastAsia="Times New Roman" w:hAnsi="Times New Roman"/>
            <w:color w:val="cc2936"/>
            <w:sz w:val="24"/>
            <w:szCs w:val="24"/>
            <w:u w:val="none"/>
            <w:rtl w:val="0"/>
          </w:rPr>
          <w:t xml:space="preserve">(Hubbard et al., 2022; Rohe et al., 2022)</w:t>
        </w:r>
      </w:hyperlink>
      <w:r w:rsidDel="00000000" w:rsidR="00000000" w:rsidRPr="00000000">
        <w:rPr>
          <w:rFonts w:ascii="Times New Roman" w:cs="Times New Roman" w:eastAsia="Times New Roman" w:hAnsi="Times New Roman"/>
          <w:sz w:val="24"/>
          <w:szCs w:val="24"/>
          <w:rtl w:val="0"/>
        </w:rPr>
        <w:t xml:space="preserve">. Furthermore, organic breeding is often collaborative, where seed sovereignty and social needs are included as project considerations </w:t>
      </w:r>
      <w:hyperlink r:id="rId18">
        <w:r w:rsidDel="00000000" w:rsidR="00000000" w:rsidRPr="00000000">
          <w:rPr>
            <w:rFonts w:ascii="Times New Roman" w:cs="Times New Roman" w:eastAsia="Times New Roman" w:hAnsi="Times New Roman"/>
            <w:color w:val="cc2936"/>
            <w:sz w:val="24"/>
            <w:szCs w:val="24"/>
            <w:u w:val="none"/>
            <w:rtl w:val="0"/>
          </w:rPr>
          <w:t xml:space="preserve">(Colley, 2022; Dawson et al., 2011)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There are exceptions to several of these requirements, as mentioned in Section 2.2.1. Of focus in this paper is that organic growers are allowed to use conventional seed if "an equivalent organically produced variety is not commercially available" (7 CFR § 205.204). Third-party organic certifiers, or accredited certifying agencies, are responsible for evaluating organic growers' compliance with the organic standard, and whether or not a farm qualifies for the organic seed exemption is at their discretion. Now that more than twenty years have passed since the ratification of the NOP, we can draw on data to understand trends in seed use, and the attributes of growers that have been unable to source organic seed. Such an assessment can help policymakers rethink the organic seed policy as the US organic standard enters into its third decade. </w:t>
      </w:r>
      <w:r w:rsidDel="00000000" w:rsidR="00000000" w:rsidRPr="00000000">
        <w:rPr>
          <w:rtl w:val="0"/>
        </w:rPr>
      </w:r>
    </w:p>
    <w:p w:rsidR="00000000" w:rsidDel="00000000" w:rsidP="00000000" w:rsidRDefault="00000000" w:rsidRPr="00000000" w14:paraId="00000054">
      <w:pPr>
        <w:pStyle w:val="Heading3"/>
        <w:rPr>
          <w:rFonts w:ascii="Times New Roman" w:cs="Times New Roman" w:eastAsia="Times New Roman" w:hAnsi="Times New Roman"/>
        </w:rPr>
      </w:pPr>
      <w:bookmarkStart w:colFirst="0" w:colLast="0" w:name="_i7i5ta38lj95" w:id="10"/>
      <w:bookmarkEnd w:id="10"/>
      <w:r w:rsidDel="00000000" w:rsidR="00000000" w:rsidRPr="00000000">
        <w:rPr>
          <w:rFonts w:ascii="Times New Roman" w:cs="Times New Roman" w:eastAsia="Times New Roman" w:hAnsi="Times New Roman"/>
          <w:rtl w:val="0"/>
        </w:rPr>
        <w:t xml:space="preserve">4.2 Data: Organic grower survey</w:t>
      </w:r>
    </w:p>
    <w:p w:rsidR="00000000" w:rsidDel="00000000" w:rsidP="00000000" w:rsidRDefault="00000000" w:rsidRPr="00000000" w14:paraId="00000055">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research combines three cross-sectional surveys of organic seed producers in the United States. These data were collected in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sz w:val="24"/>
          <w:szCs w:val="24"/>
          <w:rtl w:val="0"/>
        </w:rPr>
        <w:t xml:space="preserve">2009-2011, 2014-2016, and 2019-2021, which we will refer to as the 2010, 2015, and 2020 time periods. The nation-wide organic grower survey, orchestrated by the national non-profit organization Organic Seed Alliance, was designed to cover four main topics: Farm profile, use of organic seed, barriers to organic seed and sourcing, and attitudes towards organic seed. </w:t>
      </w:r>
      <w:r w:rsidDel="00000000" w:rsidR="00000000" w:rsidRPr="00000000">
        <w:rPr>
          <w:rFonts w:ascii="Times New Roman" w:cs="Times New Roman" w:eastAsia="Times New Roman" w:hAnsi="Times New Roman"/>
          <w:sz w:val="24"/>
          <w:szCs w:val="24"/>
          <w:rtl w:val="0"/>
        </w:rPr>
        <w:t xml:space="preserve">Across the three data collection periods </w:t>
      </w:r>
      <w:r w:rsidDel="00000000" w:rsidR="00000000" w:rsidRPr="00000000">
        <w:rPr>
          <w:rFonts w:ascii="Times New Roman" w:cs="Times New Roman" w:eastAsia="Times New Roman" w:hAnsi="Times New Roman"/>
          <w:sz w:val="24"/>
          <w:szCs w:val="24"/>
          <w:rtl w:val="0"/>
        </w:rPr>
        <w:t xml:space="preserve">survey questions remained similar in order to allow for comparison between cross-sections. </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each data collection period, grower surveys were distributed using one or both of the following methods: a random sample from the USDA NOP INTEGRITY database and a convenience sample from an open-access web survey. Responses from both the combined random and convenience samples resulted in a total of 899 responses in 2010, 1,162 responses in 2015, and 760 responses in 2020 that had identifiable regions and crops. The points on the maps in Figure 2 represent the distribution of our survey respondents. We cannot associate a response rate with our convenience sampling, but the response rates for the random samples were 25% in 2015 and 22.5% in 2020 (convenience sampling only in 2010). Of these responses, 545 (2010), 799 (2015) and 408 (2020) were complete and therefore usable for data analysis for a total of 1,770. </w:t>
      </w:r>
    </w:p>
    <w:p w:rsidR="00000000" w:rsidDel="00000000" w:rsidP="00000000" w:rsidRDefault="00000000" w:rsidRPr="00000000" w14:paraId="0000005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38550" cy="3169060"/>
            <wp:effectExtent b="0" l="0" r="0" t="0"/>
            <wp:docPr id="1" name="image2.png"/>
            <a:graphic>
              <a:graphicData uri="http://schemas.openxmlformats.org/drawingml/2006/picture">
                <pic:pic>
                  <pic:nvPicPr>
                    <pic:cNvPr id="0" name="image2.png"/>
                    <pic:cNvPicPr preferRelativeResize="0"/>
                  </pic:nvPicPr>
                  <pic:blipFill>
                    <a:blip r:embed="rId19"/>
                    <a:srcRect b="6326" l="8842" r="3275" t="8272"/>
                    <a:stretch>
                      <a:fillRect/>
                    </a:stretch>
                  </pic:blipFill>
                  <pic:spPr>
                    <a:xfrm>
                      <a:off x="0" y="0"/>
                      <a:ext cx="3638550" cy="316906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center"/>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Figure </w:t>
      </w: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Fonts w:ascii="Times New Roman" w:cs="Times New Roman" w:eastAsia="Times New Roman" w:hAnsi="Times New Roman"/>
          <w:color w:val="000000"/>
          <w:sz w:val="20"/>
          <w:szCs w:val="20"/>
          <w:rtl w:val="0"/>
        </w:rPr>
        <w:t xml:space="preserve">. Map of the United State</w:t>
      </w:r>
      <w:r w:rsidDel="00000000" w:rsidR="00000000" w:rsidRPr="00000000">
        <w:rPr>
          <w:rFonts w:ascii="Times New Roman" w:cs="Times New Roman" w:eastAsia="Times New Roman" w:hAnsi="Times New Roman"/>
          <w:sz w:val="20"/>
          <w:szCs w:val="20"/>
          <w:rtl w:val="0"/>
        </w:rPr>
        <w:t xml:space="preserve">s</w:t>
      </w:r>
      <w:r w:rsidDel="00000000" w:rsidR="00000000" w:rsidRPr="00000000">
        <w:rPr>
          <w:rFonts w:ascii="Times New Roman" w:cs="Times New Roman" w:eastAsia="Times New Roman" w:hAnsi="Times New Roman"/>
          <w:color w:val="000000"/>
          <w:sz w:val="20"/>
          <w:szCs w:val="20"/>
          <w:rtl w:val="0"/>
        </w:rPr>
        <w:t xml:space="preserve"> depicting survey responses (points) over three time periods, 2010 (</w:t>
      </w:r>
      <w:r w:rsidDel="00000000" w:rsidR="00000000" w:rsidRPr="00000000">
        <w:rPr>
          <w:rFonts w:ascii="Times New Roman" w:cs="Times New Roman" w:eastAsia="Times New Roman" w:hAnsi="Times New Roman"/>
          <w:sz w:val="20"/>
          <w:szCs w:val="20"/>
          <w:rtl w:val="0"/>
        </w:rPr>
        <w:t xml:space="preserve">purple</w:t>
      </w:r>
      <w:r w:rsidDel="00000000" w:rsidR="00000000" w:rsidRPr="00000000">
        <w:rPr>
          <w:rFonts w:ascii="Times New Roman" w:cs="Times New Roman" w:eastAsia="Times New Roman" w:hAnsi="Times New Roman"/>
          <w:color w:val="000000"/>
          <w:sz w:val="20"/>
          <w:szCs w:val="20"/>
          <w:rtl w:val="0"/>
        </w:rPr>
        <w:t xml:space="preserve">), 2015 (</w:t>
      </w:r>
      <w:r w:rsidDel="00000000" w:rsidR="00000000" w:rsidRPr="00000000">
        <w:rPr>
          <w:rFonts w:ascii="Times New Roman" w:cs="Times New Roman" w:eastAsia="Times New Roman" w:hAnsi="Times New Roman"/>
          <w:sz w:val="20"/>
          <w:szCs w:val="20"/>
          <w:rtl w:val="0"/>
        </w:rPr>
        <w:t xml:space="preserve">blue</w:t>
      </w:r>
      <w:r w:rsidDel="00000000" w:rsidR="00000000" w:rsidRPr="00000000">
        <w:rPr>
          <w:rFonts w:ascii="Times New Roman" w:cs="Times New Roman" w:eastAsia="Times New Roman" w:hAnsi="Times New Roman"/>
          <w:color w:val="000000"/>
          <w:sz w:val="20"/>
          <w:szCs w:val="20"/>
          <w:rtl w:val="0"/>
        </w:rPr>
        <w:t xml:space="preserve">), 2020 (</w:t>
      </w:r>
      <w:r w:rsidDel="00000000" w:rsidR="00000000" w:rsidRPr="00000000">
        <w:rPr>
          <w:rFonts w:ascii="Times New Roman" w:cs="Times New Roman" w:eastAsia="Times New Roman" w:hAnsi="Times New Roman"/>
          <w:sz w:val="20"/>
          <w:szCs w:val="20"/>
          <w:rtl w:val="0"/>
        </w:rPr>
        <w:t xml:space="preserve">green</w:t>
      </w:r>
      <w:r w:rsidDel="00000000" w:rsidR="00000000" w:rsidRPr="00000000">
        <w:rPr>
          <w:rFonts w:ascii="Times New Roman" w:cs="Times New Roman" w:eastAsia="Times New Roman" w:hAnsi="Times New Roman"/>
          <w:color w:val="000000"/>
          <w:sz w:val="20"/>
          <w:szCs w:val="20"/>
          <w:rtl w:val="0"/>
        </w:rPr>
        <w:t xml:space="preserve">).</w:t>
      </w:r>
    </w:p>
    <w:p w:rsidR="00000000" w:rsidDel="00000000" w:rsidP="00000000" w:rsidRDefault="00000000" w:rsidRPr="00000000" w14:paraId="0000005A">
      <w:pPr>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fig1.1, echo = F, out.width = '80%', fig.align = 'center', fig.cap = 'Map of the United States depicting survey responses (points) over three time periods, 2010 (purple), 2015 (blue), 2020 (green).'}</w:t>
      </w:r>
    </w:p>
    <w:p w:rsidR="00000000" w:rsidDel="00000000" w:rsidP="00000000" w:rsidRDefault="00000000" w:rsidRPr="00000000" w14:paraId="0000005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knitr::include_graphics('~/Documents/Davis/R-Projects/organicseed_adoption/figures/figure1.png')</w:t>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05E">
      <w:pPr>
        <w:pStyle w:val="Heading3"/>
        <w:rPr>
          <w:rFonts w:ascii="Times New Roman" w:cs="Times New Roman" w:eastAsia="Times New Roman" w:hAnsi="Times New Roman"/>
        </w:rPr>
      </w:pPr>
      <w:bookmarkStart w:colFirst="0" w:colLast="0" w:name="_q128zjmujty9" w:id="11"/>
      <w:bookmarkEnd w:id="11"/>
      <w:r w:rsidDel="00000000" w:rsidR="00000000" w:rsidRPr="00000000">
        <w:rPr>
          <w:rFonts w:ascii="Times New Roman" w:cs="Times New Roman" w:eastAsia="Times New Roman" w:hAnsi="Times New Roman"/>
          <w:rtl w:val="0"/>
        </w:rPr>
        <w:t xml:space="preserve">4.3 Quantitative analysis</w:t>
      </w:r>
      <w:r w:rsidDel="00000000" w:rsidR="00000000" w:rsidRPr="00000000">
        <w:rPr>
          <w:rtl w:val="0"/>
        </w:rPr>
      </w:r>
    </w:p>
    <w:p w:rsidR="00000000" w:rsidDel="00000000" w:rsidP="00000000" w:rsidRDefault="00000000" w:rsidRPr="00000000" w14:paraId="0000005F">
      <w:pPr>
        <w:pStyle w:val="Heading4"/>
        <w:rPr>
          <w:rFonts w:ascii="Times New Roman" w:cs="Times New Roman" w:eastAsia="Times New Roman" w:hAnsi="Times New Roman"/>
        </w:rPr>
      </w:pPr>
      <w:bookmarkStart w:colFirst="0" w:colLast="0" w:name="_l0w99wolo7ik" w:id="12"/>
      <w:bookmarkEnd w:id="12"/>
      <w:r w:rsidDel="00000000" w:rsidR="00000000" w:rsidRPr="00000000">
        <w:rPr>
          <w:rFonts w:ascii="Times New Roman" w:cs="Times New Roman" w:eastAsia="Times New Roman" w:hAnsi="Times New Roman"/>
          <w:rtl w:val="0"/>
        </w:rPr>
        <w:t xml:space="preserve">4.3.1 Variables</w:t>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Descriptions of the variables used in our model are described in Table 1. The key dependent variable in our model is </w:t>
      </w:r>
      <w:r w:rsidDel="00000000" w:rsidR="00000000" w:rsidRPr="00000000">
        <w:rPr>
          <w:rFonts w:ascii="Times New Roman" w:cs="Times New Roman" w:eastAsia="Times New Roman" w:hAnsi="Times New Roman"/>
          <w:i w:val="1"/>
          <w:sz w:val="24"/>
          <w:szCs w:val="24"/>
          <w:rtl w:val="0"/>
        </w:rPr>
        <w:t xml:space="preserve">acreage planted to conventional seed</w:t>
      </w:r>
      <w:r w:rsidDel="00000000" w:rsidR="00000000" w:rsidRPr="00000000">
        <w:rPr>
          <w:rFonts w:ascii="Times New Roman" w:cs="Times New Roman" w:eastAsia="Times New Roman" w:hAnsi="Times New Roman"/>
          <w:sz w:val="24"/>
          <w:szCs w:val="24"/>
          <w:rtl w:val="0"/>
        </w:rPr>
        <w:t xml:space="preserve">. The survey asks respondents: "Last year, what approximate percentage of total acreage of [vegetable/forage/field crops] was planted with certified organic seed?". The response to this question is a continuous variable between 0 and 100, which was converted into a proportion. Then we subtracted this value from one to represent the proportion of acreage planted to conventional seed. </w:t>
      </w:r>
      <w:r w:rsidDel="00000000" w:rsidR="00000000" w:rsidRPr="00000000">
        <w:rPr>
          <w:rtl w:val="0"/>
        </w:rPr>
      </w:r>
    </w:p>
    <w:p w:rsidR="00000000" w:rsidDel="00000000" w:rsidP="00000000" w:rsidRDefault="00000000" w:rsidRPr="00000000" w14:paraId="00000061">
      <w:pPr>
        <w:ind w:firstLine="720"/>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Our analysis includes eight independent variables for predicting adoption. The first five variables are relevant to our first hypotheses. This includes four variables describing </w:t>
      </w:r>
      <w:r w:rsidDel="00000000" w:rsidR="00000000" w:rsidRPr="00000000">
        <w:rPr>
          <w:rFonts w:ascii="Times New Roman" w:cs="Times New Roman" w:eastAsia="Times New Roman" w:hAnsi="Times New Roman"/>
          <w:i w:val="1"/>
          <w:sz w:val="24"/>
          <w:szCs w:val="24"/>
          <w:rtl w:val="0"/>
        </w:rPr>
        <w:t xml:space="preserve">barriers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sourcing organic seed. Growers were asked, "Over the last three years, how much were each of the following a factor in your decision NOT to purchase organic seed?". The top reasons include: Variety is not available as organic, lack of desirable genetic traits, insufficient quantity of seed, and processor/buyer requires or supplies varieties that are not available in organic form. Responses were Likert-scale ratings from "Not a factor" (1) to "Significant factor" (4). Additionally, the </w:t>
      </w:r>
      <w:r w:rsidDel="00000000" w:rsidR="00000000" w:rsidRPr="00000000">
        <w:rPr>
          <w:rFonts w:ascii="Times New Roman" w:cs="Times New Roman" w:eastAsia="Times New Roman" w:hAnsi="Times New Roman"/>
          <w:i w:val="1"/>
          <w:sz w:val="24"/>
          <w:szCs w:val="24"/>
          <w:rtl w:val="0"/>
        </w:rPr>
        <w:t xml:space="preserve">survey year</w:t>
      </w:r>
      <w:r w:rsidDel="00000000" w:rsidR="00000000" w:rsidRPr="00000000">
        <w:rPr>
          <w:rFonts w:ascii="Times New Roman" w:cs="Times New Roman" w:eastAsia="Times New Roman" w:hAnsi="Times New Roman"/>
          <w:sz w:val="24"/>
          <w:szCs w:val="24"/>
          <w:rtl w:val="0"/>
        </w:rPr>
        <w:t xml:space="preserve"> captures how the organic seed market has changed over time.</w:t>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next three variables are relevant to our second hypothesis. Organic growers' </w:t>
      </w:r>
      <w:r w:rsidDel="00000000" w:rsidR="00000000" w:rsidRPr="00000000">
        <w:rPr>
          <w:rFonts w:ascii="Times New Roman" w:cs="Times New Roman" w:eastAsia="Times New Roman" w:hAnsi="Times New Roman"/>
          <w:sz w:val="24"/>
          <w:szCs w:val="24"/>
          <w:rtl w:val="0"/>
        </w:rPr>
        <w:t xml:space="preserve">principled </w:t>
      </w:r>
      <w:r w:rsidDel="00000000" w:rsidR="00000000" w:rsidRPr="00000000">
        <w:rPr>
          <w:rFonts w:ascii="Times New Roman" w:cs="Times New Roman" w:eastAsia="Times New Roman" w:hAnsi="Times New Roman"/>
          <w:i w:val="1"/>
          <w:sz w:val="24"/>
          <w:szCs w:val="24"/>
          <w:rtl w:val="0"/>
        </w:rPr>
        <w:t xml:space="preserve">value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of organic seed</w:t>
      </w:r>
      <w:r w:rsidDel="00000000" w:rsidR="00000000" w:rsidRPr="00000000">
        <w:rPr>
          <w:rFonts w:ascii="Times New Roman" w:cs="Times New Roman" w:eastAsia="Times New Roman" w:hAnsi="Times New Roman"/>
          <w:sz w:val="24"/>
          <w:szCs w:val="24"/>
          <w:rtl w:val="0"/>
        </w:rPr>
        <w:t xml:space="preserve"> are derived based on respondents' agreement with the statement: "Organic seed is important in maintaining the integrity of organic food production." Agreement ranged from strongly disagree (1) to strongly agree (5). </w:t>
      </w:r>
      <w:r w:rsidDel="00000000" w:rsidR="00000000" w:rsidRPr="00000000">
        <w:rPr>
          <w:rFonts w:ascii="Times New Roman" w:cs="Times New Roman" w:eastAsia="Times New Roman" w:hAnsi="Times New Roman"/>
          <w:i w:val="1"/>
          <w:sz w:val="24"/>
          <w:szCs w:val="24"/>
          <w:rtl w:val="0"/>
        </w:rPr>
        <w:t xml:space="preserve">Farm size</w:t>
      </w:r>
      <w:r w:rsidDel="00000000" w:rsidR="00000000" w:rsidRPr="00000000">
        <w:rPr>
          <w:rFonts w:ascii="Times New Roman" w:cs="Times New Roman" w:eastAsia="Times New Roman" w:hAnsi="Times New Roman"/>
          <w:sz w:val="24"/>
          <w:szCs w:val="24"/>
          <w:rtl w:val="0"/>
        </w:rPr>
        <w:t xml:space="preserve">, measured as acreage ranging from 1-17,000 acres, is a representation of scale and farm resources. And </w:t>
      </w:r>
      <w:r w:rsidDel="00000000" w:rsidR="00000000" w:rsidRPr="00000000">
        <w:rPr>
          <w:rFonts w:ascii="Times New Roman" w:cs="Times New Roman" w:eastAsia="Times New Roman" w:hAnsi="Times New Roman"/>
          <w:i w:val="1"/>
          <w:sz w:val="24"/>
          <w:szCs w:val="24"/>
          <w:rtl w:val="0"/>
        </w:rPr>
        <w:t xml:space="preserve">crop diversity</w:t>
      </w:r>
      <w:r w:rsidDel="00000000" w:rsidR="00000000" w:rsidRPr="00000000">
        <w:rPr>
          <w:rFonts w:ascii="Times New Roman" w:cs="Times New Roman" w:eastAsia="Times New Roman" w:hAnsi="Times New Roman"/>
          <w:sz w:val="24"/>
          <w:szCs w:val="24"/>
          <w:rtl w:val="0"/>
        </w:rPr>
        <w:t xml:space="preserve"> is the number of crop categories growers produce, which include field, vegetable, and forage crops. </w:t>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Last, we include four variables in our model as controls: variables we know to influence adoption but are not of theoretical interest to this paper. These include the amount of </w:t>
      </w:r>
      <w:r w:rsidDel="00000000" w:rsidR="00000000" w:rsidRPr="00000000">
        <w:rPr>
          <w:rFonts w:ascii="Times New Roman" w:cs="Times New Roman" w:eastAsia="Times New Roman" w:hAnsi="Times New Roman"/>
          <w:i w:val="1"/>
          <w:sz w:val="24"/>
          <w:szCs w:val="24"/>
          <w:rtl w:val="0"/>
        </w:rPr>
        <w:t xml:space="preserve">seed sourced via seed saving or trading</w:t>
      </w:r>
      <w:r w:rsidDel="00000000" w:rsidR="00000000" w:rsidRPr="00000000">
        <w:rPr>
          <w:rFonts w:ascii="Times New Roman" w:cs="Times New Roman" w:eastAsia="Times New Roman" w:hAnsi="Times New Roman"/>
          <w:sz w:val="24"/>
          <w:szCs w:val="24"/>
          <w:rtl w:val="0"/>
        </w:rPr>
        <w:t xml:space="preserve">, represented as </w:t>
      </w:r>
      <w:r w:rsidDel="00000000" w:rsidR="00000000" w:rsidRPr="00000000">
        <w:rPr>
          <w:rFonts w:ascii="Times New Roman" w:cs="Times New Roman" w:eastAsia="Times New Roman" w:hAnsi="Times New Roman"/>
          <w:sz w:val="24"/>
          <w:szCs w:val="24"/>
          <w:rtl w:val="0"/>
        </w:rPr>
        <w:t xml:space="preserve">the percentage of seeds that farmers report sourcing from either their own farm or from other farmers, ranging between 0 and 100 percent. </w:t>
      </w:r>
      <w:r w:rsidDel="00000000" w:rsidR="00000000" w:rsidRPr="00000000">
        <w:rPr>
          <w:rFonts w:ascii="Times New Roman" w:cs="Times New Roman" w:eastAsia="Times New Roman" w:hAnsi="Times New Roman"/>
          <w:i w:val="1"/>
          <w:sz w:val="24"/>
          <w:szCs w:val="24"/>
          <w:rtl w:val="0"/>
        </w:rPr>
        <w:t xml:space="preserve">Certifiers request organic seed use </w:t>
      </w:r>
      <w:r w:rsidDel="00000000" w:rsidR="00000000" w:rsidRPr="00000000">
        <w:rPr>
          <w:rFonts w:ascii="Times New Roman" w:cs="Times New Roman" w:eastAsia="Times New Roman" w:hAnsi="Times New Roman"/>
          <w:sz w:val="24"/>
          <w:szCs w:val="24"/>
          <w:rtl w:val="0"/>
        </w:rPr>
        <w:t xml:space="preserve">is the </w:t>
      </w:r>
      <w:r w:rsidDel="00000000" w:rsidR="00000000" w:rsidRPr="00000000">
        <w:rPr>
          <w:rFonts w:ascii="Times New Roman" w:cs="Times New Roman" w:eastAsia="Times New Roman" w:hAnsi="Times New Roman"/>
          <w:sz w:val="24"/>
          <w:szCs w:val="24"/>
          <w:rtl w:val="0"/>
        </w:rPr>
        <w:t xml:space="preserve">growers' reported experience with certifiers' regulatory enforcement. Growers were asked the yes-no question: "Over the last three years has your certifier requested that you take greater steps to source organic seed?". Last, we include the </w:t>
      </w:r>
      <w:r w:rsidDel="00000000" w:rsidR="00000000" w:rsidRPr="00000000">
        <w:rPr>
          <w:rFonts w:ascii="Times New Roman" w:cs="Times New Roman" w:eastAsia="Times New Roman" w:hAnsi="Times New Roman"/>
          <w:i w:val="1"/>
          <w:sz w:val="24"/>
          <w:szCs w:val="24"/>
          <w:rtl w:val="0"/>
        </w:rPr>
        <w:t xml:space="preserve">region</w:t>
      </w:r>
      <w:r w:rsidDel="00000000" w:rsidR="00000000" w:rsidRPr="00000000">
        <w:rPr>
          <w:rFonts w:ascii="Times New Roman" w:cs="Times New Roman" w:eastAsia="Times New Roman" w:hAnsi="Times New Roman"/>
          <w:sz w:val="24"/>
          <w:szCs w:val="24"/>
          <w:rtl w:val="0"/>
        </w:rPr>
        <w:t xml:space="preserve"> in which the farmer is located and the </w:t>
      </w:r>
      <w:r w:rsidDel="00000000" w:rsidR="00000000" w:rsidRPr="00000000">
        <w:rPr>
          <w:rFonts w:ascii="Times New Roman" w:cs="Times New Roman" w:eastAsia="Times New Roman" w:hAnsi="Times New Roman"/>
          <w:i w:val="1"/>
          <w:sz w:val="24"/>
          <w:szCs w:val="24"/>
          <w:rtl w:val="0"/>
        </w:rPr>
        <w:t xml:space="preserve">main crop</w:t>
      </w:r>
      <w:r w:rsidDel="00000000" w:rsidR="00000000" w:rsidRPr="00000000">
        <w:rPr>
          <w:rFonts w:ascii="Times New Roman" w:cs="Times New Roman" w:eastAsia="Times New Roman" w:hAnsi="Times New Roman"/>
          <w:sz w:val="24"/>
          <w:szCs w:val="24"/>
          <w:rtl w:val="0"/>
        </w:rPr>
        <w:t xml:space="preserve"> of that grower based on their percent acreage planted to that crop, to account for variation in the development and availability of organic seed in these different subsystems. </w:t>
      </w:r>
    </w:p>
    <w:tbl>
      <w:tblPr>
        <w:tblStyle w:val="Table1"/>
        <w:tblW w:w="9060.0" w:type="dxa"/>
        <w:jc w:val="left"/>
        <w:tblLayout w:type="fixed"/>
        <w:tblLook w:val="0600"/>
      </w:tblPr>
      <w:tblGrid>
        <w:gridCol w:w="3945"/>
        <w:gridCol w:w="1110"/>
        <w:gridCol w:w="1860"/>
        <w:gridCol w:w="2145"/>
        <w:tblGridChange w:id="0">
          <w:tblGrid>
            <w:gridCol w:w="3945"/>
            <w:gridCol w:w="1110"/>
            <w:gridCol w:w="1860"/>
            <w:gridCol w:w="2145"/>
          </w:tblGrid>
        </w:tblGridChange>
      </w:tblGrid>
      <w:tr>
        <w:trPr>
          <w:cantSplit w:val="0"/>
          <w:trHeight w:val="300" w:hRule="atLeast"/>
          <w:tblHeader w:val="0"/>
        </w:trPr>
        <w:tc>
          <w:tcPr>
            <w:gridSpan w:val="4"/>
            <w:tcBorders>
              <w:top w:color="000000" w:space="0" w:sz="0" w:val="nil"/>
              <w:left w:color="000000" w:space="0" w:sz="0" w:val="nil"/>
              <w:bottom w:color="202124" w:space="0" w:sz="4" w:val="single"/>
              <w:right w:color="000000" w:space="0" w:sz="0" w:val="nil"/>
            </w:tcBorders>
            <w:tcMar>
              <w:top w:w="20.0" w:type="dxa"/>
              <w:left w:w="20.0" w:type="dxa"/>
              <w:bottom w:w="100.0" w:type="dxa"/>
              <w:right w:w="20.0" w:type="dxa"/>
            </w:tcMar>
            <w:vAlign w:val="center"/>
          </w:tcPr>
          <w:p w:rsidR="00000000" w:rsidDel="00000000" w:rsidP="00000000" w:rsidRDefault="00000000" w:rsidRPr="00000000" w14:paraId="00000067">
            <w:pPr>
              <w:widowControl w:val="0"/>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1. </w:t>
            </w:r>
          </w:p>
        </w:tc>
      </w:tr>
      <w:tr>
        <w:trPr>
          <w:cantSplit w:val="0"/>
          <w:trHeight w:val="12.959999999999997" w:hRule="atLeast"/>
          <w:tblHeader w:val="0"/>
        </w:trPr>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C">
            <w:pPr>
              <w:widowControl w:val="0"/>
              <w:spacing w:line="240"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description</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D">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Hypothesis</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6E">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Variable </w:t>
            </w:r>
          </w:p>
          <w:p w:rsidR="00000000" w:rsidDel="00000000" w:rsidP="00000000" w:rsidRDefault="00000000" w:rsidRPr="00000000" w14:paraId="0000006F">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name</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0">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Data </w:t>
            </w:r>
          </w:p>
          <w:p w:rsidR="00000000" w:rsidDel="00000000" w:rsidP="00000000" w:rsidRDefault="00000000" w:rsidRPr="00000000" w14:paraId="00000071">
            <w:pPr>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type</w:t>
            </w:r>
          </w:p>
        </w:tc>
      </w:tr>
      <w:tr>
        <w:trPr>
          <w:cantSplit w:val="0"/>
          <w:trHeight w:val="300" w:hRule="atLeast"/>
          <w:tblHeader w:val="0"/>
        </w:trPr>
        <w:tc>
          <w:tcPr>
            <w:gridSpan w:val="4"/>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2">
            <w:pPr>
              <w:widowControl w:val="0"/>
              <w:spacing w:line="240" w:lineRule="auto"/>
              <w:rPr>
                <w:rFonts w:ascii="Times New Roman" w:cs="Times New Roman" w:eastAsia="Times New Roman" w:hAnsi="Times New Roman"/>
                <w:i w:val="1"/>
                <w:sz w:val="20"/>
                <w:szCs w:val="20"/>
              </w:rPr>
            </w:pPr>
            <w:r w:rsidDel="00000000" w:rsidR="00000000" w:rsidRPr="00000000">
              <w:rPr>
                <w:rFonts w:ascii="Times New Roman" w:cs="Times New Roman" w:eastAsia="Times New Roman" w:hAnsi="Times New Roman"/>
                <w:sz w:val="20"/>
                <w:szCs w:val="20"/>
                <w:rtl w:val="0"/>
              </w:rPr>
              <w:t xml:space="preserve">Dependent variable</w:t>
            </w:r>
            <w:r w:rsidDel="00000000" w:rsidR="00000000" w:rsidRPr="00000000">
              <w:rPr>
                <w:rtl w:val="0"/>
              </w:rPr>
            </w:r>
          </w:p>
        </w:tc>
      </w:tr>
      <w:tr>
        <w:trPr>
          <w:cantSplit w:val="0"/>
          <w:trHeight w:val="506.0595703125" w:hRule="atLeast"/>
          <w:tblHeader w:val="0"/>
        </w:trPr>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6">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Last year, what approximate percentage of total acreage of [crop] was planted with conventional seed? </w:t>
            </w: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7">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202124"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Acreage planted to conventional seed</w:t>
            </w:r>
          </w:p>
        </w:tc>
        <w:tc>
          <w:tcPr>
            <w:tcBorders>
              <w:top w:color="202124" w:space="0" w:sz="4" w:val="single"/>
              <w:left w:color="000000" w:space="0" w:sz="0" w:val="nil"/>
              <w:bottom w:color="202124"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w:t>
            </w:r>
          </w:p>
          <w:p w:rsidR="00000000" w:rsidDel="00000000" w:rsidP="00000000" w:rsidRDefault="00000000" w:rsidRPr="00000000" w14:paraId="0000007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B">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Independent variables</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7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Over the last three years, how much were each of the following a factor in your decision NOT to purchase organic seed?</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0">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1">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2">
            <w:pPr>
              <w:spacing w:line="240" w:lineRule="auto"/>
              <w:jc w:val="center"/>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3">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Specific variety not available as </w:t>
            </w:r>
          </w:p>
          <w:p w:rsidR="00000000" w:rsidDel="00000000" w:rsidP="00000000" w:rsidRDefault="00000000" w:rsidRPr="00000000" w14:paraId="0000008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Insufficient quantity of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8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Lack of desirable genetic 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8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Undesirable </w:t>
            </w:r>
          </w:p>
          <w:p w:rsidR="00000000" w:rsidDel="00000000" w:rsidP="00000000" w:rsidRDefault="00000000" w:rsidRPr="00000000" w14:paraId="0000009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traits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Processor/buyer requires or supplies   </w:t>
            </w:r>
          </w:p>
          <w:p w:rsidR="00000000" w:rsidDel="00000000" w:rsidP="00000000" w:rsidRDefault="00000000" w:rsidRPr="00000000" w14:paraId="00000095">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varieties that are not available</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H1a</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9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A">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H1b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Survey year</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9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(2010, 2015, 2020)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9F">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Please indicate your level of agreement with the statement: Organic seed is important in maintaining the integrity of organic food production</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H2a</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1">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2">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Likert scale </w:t>
            </w:r>
          </w:p>
          <w:p w:rsidR="00000000" w:rsidDel="00000000" w:rsidP="00000000" w:rsidRDefault="00000000" w:rsidRPr="00000000" w14:paraId="000000A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r>
      <w:tr>
        <w:trPr>
          <w:cantSplit w:val="0"/>
          <w:tblHeader w:val="0"/>
        </w:trPr>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4">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Total acreage</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H2b</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7">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 </w:t>
            </w:r>
          </w:p>
          <w:p w:rsidR="00000000" w:rsidDel="00000000" w:rsidP="00000000" w:rsidRDefault="00000000" w:rsidRPr="00000000" w14:paraId="000000A8">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(0-17,000)</w:t>
            </w:r>
          </w:p>
        </w:tc>
      </w:tr>
      <w:tr>
        <w:trPr>
          <w:cantSplit w:val="0"/>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9">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H2c</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C">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p w:rsidR="00000000" w:rsidDel="00000000" w:rsidP="00000000" w:rsidRDefault="00000000" w:rsidRPr="00000000" w14:paraId="000000AD">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r>
      <w:tr>
        <w:trPr>
          <w:cantSplit w:val="0"/>
          <w:trHeight w:val="300" w:hRule="atLeast"/>
          <w:tblHeader w:val="0"/>
        </w:trPr>
        <w:tc>
          <w:tcPr>
            <w:gridSpan w:val="4"/>
            <w:tcBorders>
              <w:top w:color="000000" w:space="0" w:sz="4" w:val="single"/>
              <w:left w:color="000000" w:space="0" w:sz="0" w:val="nil"/>
              <w:bottom w:color="000000" w:space="0" w:sz="4" w:val="single"/>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AE">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Control variables</w:t>
            </w:r>
          </w:p>
        </w:tc>
      </w:tr>
      <w:tr>
        <w:trPr>
          <w:cantSplit w:val="0"/>
          <w:trHeight w:val="12.959999999999997" w:hRule="atLeast"/>
          <w:tblHeader w:val="0"/>
        </w:trPr>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2">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Has your certifier requested that you take greater steps to source organic seed?</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3">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Binary </w:t>
            </w:r>
          </w:p>
          <w:p w:rsidR="00000000" w:rsidDel="00000000" w:rsidP="00000000" w:rsidRDefault="00000000" w:rsidRPr="00000000" w14:paraId="000000B6">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Sources seed from self or other farmers</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8">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9">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A">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Percent </w:t>
            </w:r>
          </w:p>
          <w:p w:rsidR="00000000" w:rsidDel="00000000" w:rsidP="00000000" w:rsidRDefault="00000000" w:rsidRPr="00000000" w14:paraId="000000BB">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(0-100)</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C">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 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D">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E">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BF">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w:t>
            </w:r>
          </w:p>
          <w:p w:rsidR="00000000" w:rsidDel="00000000" w:rsidP="00000000" w:rsidRDefault="00000000" w:rsidRPr="00000000" w14:paraId="000000C0">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(Field, Forage, Vegetable)</w:t>
            </w:r>
          </w:p>
        </w:tc>
      </w:tr>
      <w:tr>
        <w:trPr>
          <w:cantSplit w:val="0"/>
          <w:trHeight w:val="12.959999999999997" w:hRule="atLeast"/>
          <w:tblHeader w:val="0"/>
        </w:trPr>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1">
            <w:pPr>
              <w:spacing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2">
            <w:pPr>
              <w:spacing w:line="240" w:lineRule="auto"/>
              <w:jc w:val="center"/>
              <w:rPr>
                <w:rFonts w:ascii="Times New Roman" w:cs="Times New Roman" w:eastAsia="Times New Roman" w:hAnsi="Times New Roman"/>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3">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Region</w:t>
            </w:r>
          </w:p>
        </w:tc>
        <w:tc>
          <w:tcPr>
            <w:tcBorders>
              <w:top w:color="000000" w:space="0" w:sz="0" w:val="nil"/>
              <w:left w:color="000000" w:space="0" w:sz="0" w:val="nil"/>
              <w:bottom w:color="000000" w:space="0" w:sz="0" w:val="nil"/>
              <w:right w:color="000000" w:space="0" w:sz="0" w:val="nil"/>
            </w:tcBorders>
            <w:shd w:fill="auto" w:val="clear"/>
            <w:tcMar>
              <w:top w:w="20.0" w:type="dxa"/>
              <w:left w:w="20.0" w:type="dxa"/>
              <w:bottom w:w="100.0" w:type="dxa"/>
              <w:right w:w="20.0" w:type="dxa"/>
            </w:tcMar>
            <w:vAlign w:val="center"/>
          </w:tcPr>
          <w:p w:rsidR="00000000" w:rsidDel="00000000" w:rsidP="00000000" w:rsidRDefault="00000000" w:rsidRPr="00000000" w14:paraId="000000C4">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Categorical </w:t>
            </w:r>
          </w:p>
          <w:p w:rsidR="00000000" w:rsidDel="00000000" w:rsidP="00000000" w:rsidRDefault="00000000" w:rsidRPr="00000000" w14:paraId="000000C5">
            <w:pPr>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Central, West, Northeast, South)</w:t>
            </w:r>
          </w:p>
        </w:tc>
      </w:tr>
    </w:tbl>
    <w:p w:rsidR="00000000" w:rsidDel="00000000" w:rsidP="00000000" w:rsidRDefault="00000000" w:rsidRPr="00000000" w14:paraId="000000C6">
      <w:pPr>
        <w:pStyle w:val="Heading4"/>
        <w:rPr>
          <w:rFonts w:ascii="Times New Roman" w:cs="Times New Roman" w:eastAsia="Times New Roman" w:hAnsi="Times New Roman"/>
        </w:rPr>
      </w:pPr>
      <w:bookmarkStart w:colFirst="0" w:colLast="0" w:name="_vnkkyrzejydo" w:id="13"/>
      <w:bookmarkEnd w:id="13"/>
      <w:r w:rsidDel="00000000" w:rsidR="00000000" w:rsidRPr="00000000">
        <w:rPr>
          <w:rFonts w:ascii="Times New Roman" w:cs="Times New Roman" w:eastAsia="Times New Roman" w:hAnsi="Times New Roman"/>
          <w:rtl w:val="0"/>
        </w:rPr>
        <w:t xml:space="preserve">4.3.2 Modeling approach</w:t>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 a beta regression model to estimate the relationships between organic growers' use of conventional seed and their attributes. The beta distribution is best suited for our model given that the dependent variable of conventional seed use is bounded by 0 and 1, representing the proportion of acreage. Prior to fitting the model, we transformed the data in two ways. First, the acreage proportion data was censored by 0.001 so that observations fall within (but not equal to) the 0-1 boundaries of a beta distribution (INLA Documentation: Beta). Second, all independent variables are mean-centered and scaled for easier interpretation of coefficients. This way, the values of the coefficients represent the proportion increase in conventional seed used based on a unit change from the mean of the variable. </w:t>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ran our analysis using the INLA package (Rue et al. 2009) available in R Statistical software (R Core Team 2023). INLA uses an </w:t>
      </w:r>
      <w:r w:rsidDel="00000000" w:rsidR="00000000" w:rsidRPr="00000000">
        <w:rPr>
          <w:rFonts w:ascii="Times New Roman" w:cs="Times New Roman" w:eastAsia="Times New Roman" w:hAnsi="Times New Roman"/>
          <w:sz w:val="24"/>
          <w:szCs w:val="24"/>
          <w:rtl w:val="0"/>
        </w:rPr>
        <w:t xml:space="preserve">Integrated Nested Laplace Approximation – a deterministic Bayesian method for estimating its models. </w:t>
      </w:r>
      <w:r w:rsidDel="00000000" w:rsidR="00000000" w:rsidRPr="00000000">
        <w:rPr>
          <w:rFonts w:ascii="Times New Roman" w:cs="Times New Roman" w:eastAsia="Times New Roman" w:hAnsi="Times New Roman"/>
          <w:sz w:val="24"/>
          <w:szCs w:val="24"/>
          <w:rtl w:val="0"/>
        </w:rPr>
        <w:t xml:space="preserve">Analysis is available at </w:t>
      </w:r>
      <w:hyperlink r:id="rId20">
        <w:r w:rsidDel="00000000" w:rsidR="00000000" w:rsidRPr="00000000">
          <w:rPr>
            <w:rFonts w:ascii="Times New Roman" w:cs="Times New Roman" w:eastAsia="Times New Roman" w:hAnsi="Times New Roman"/>
            <w:color w:val="1155cc"/>
            <w:sz w:val="24"/>
            <w:szCs w:val="24"/>
            <w:u w:val="single"/>
            <w:rtl w:val="0"/>
          </w:rPr>
          <w:t xml:space="preserve">github.com/liza-wood/organicseed_adoption</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Variable selection is informed largely by theory rather than model fitting exercises. However, we compare several models and provide measures of model fit in </w:t>
      </w:r>
      <w:r w:rsidDel="00000000" w:rsidR="00000000" w:rsidRPr="00000000">
        <w:rPr>
          <w:rFonts w:ascii="Times New Roman" w:cs="Times New Roman" w:eastAsia="Times New Roman" w:hAnsi="Times New Roman"/>
          <w:sz w:val="24"/>
          <w:szCs w:val="24"/>
          <w:rtl w:val="0"/>
        </w:rPr>
        <w:t xml:space="preserve">Appendix Section 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pStyle w:val="Heading3"/>
        <w:rPr>
          <w:rFonts w:ascii="Times New Roman" w:cs="Times New Roman" w:eastAsia="Times New Roman" w:hAnsi="Times New Roman"/>
        </w:rPr>
      </w:pPr>
      <w:bookmarkStart w:colFirst="0" w:colLast="0" w:name="_la5ocx5o1dx1" w:id="14"/>
      <w:bookmarkEnd w:id="14"/>
      <w:commentRangeStart w:id="8"/>
      <w:r w:rsidDel="00000000" w:rsidR="00000000" w:rsidRPr="00000000">
        <w:rPr>
          <w:rFonts w:ascii="Times New Roman" w:cs="Times New Roman" w:eastAsia="Times New Roman" w:hAnsi="Times New Roman"/>
          <w:rtl w:val="0"/>
        </w:rPr>
        <w:t xml:space="preserve">4.4 Descriptive analysis</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CD">
      <w:pPr>
        <w:pStyle w:val="Heading2"/>
        <w:rPr>
          <w:rFonts w:ascii="Times New Roman" w:cs="Times New Roman" w:eastAsia="Times New Roman" w:hAnsi="Times New Roman"/>
        </w:rPr>
      </w:pPr>
      <w:bookmarkStart w:colFirst="0" w:colLast="0" w:name="_qg9zfacwu5ko" w:id="15"/>
      <w:bookmarkEnd w:id="15"/>
      <w:r w:rsidDel="00000000" w:rsidR="00000000" w:rsidRPr="00000000">
        <w:rPr>
          <w:rFonts w:ascii="Times New Roman" w:cs="Times New Roman" w:eastAsia="Times New Roman" w:hAnsi="Times New Roman"/>
          <w:rtl w:val="0"/>
        </w:rPr>
        <w:t xml:space="preserve">5. Results</w:t>
      </w:r>
    </w:p>
    <w:p w:rsidR="00000000" w:rsidDel="00000000" w:rsidP="00000000" w:rsidRDefault="00000000" w:rsidRPr="00000000" w14:paraId="000000CE">
      <w:pPr>
        <w:pStyle w:val="Heading3"/>
        <w:rPr>
          <w:rFonts w:ascii="Times New Roman" w:cs="Times New Roman" w:eastAsia="Times New Roman" w:hAnsi="Times New Roman"/>
        </w:rPr>
      </w:pPr>
      <w:bookmarkStart w:colFirst="0" w:colLast="0" w:name="_i9eebvvlyb9d" w:id="16"/>
      <w:bookmarkEnd w:id="16"/>
      <w:r w:rsidDel="00000000" w:rsidR="00000000" w:rsidRPr="00000000">
        <w:rPr>
          <w:rFonts w:ascii="Times New Roman" w:cs="Times New Roman" w:eastAsia="Times New Roman" w:hAnsi="Times New Roman"/>
          <w:rtl w:val="0"/>
        </w:rPr>
        <w:t xml:space="preserve">5.1 State of organic seed</w:t>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time periods of our survey (2010, 2015, 2020), the mean values and their standard deviations are reported in Table 2. Conventional seed use has been relatively low since the inception of the organic certification. The mean proportion of organic crop acreage planted to conventional seed decreased from 43% to 32% between 2010 and 2015, then to 29% in 2020, with high standard deviations. </w:t>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most significant barrier that growers report as limiting their organic seed sourcing is that a specific variety is not available in organic form, which is ranked over 3 (between moderate and significant factor) in all three survey periods. The barriers of insufficient quantity and desirable genetic traits score an average of 2.6 (between low and moderate factor) in 2010, and that score decreases by 2020. Buyer requirements are the least significant barrier to sourcing organic seed, but it does remain a consistent, low ranked factor over time. </w:t>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Across the three survey periods,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growers' perceived value of </w:t>
      </w:r>
      <w:r w:rsidDel="00000000" w:rsidR="00000000" w:rsidRPr="00000000">
        <w:rPr>
          <w:rFonts w:ascii="Times New Roman" w:cs="Times New Roman" w:eastAsia="Times New Roman" w:hAnsi="Times New Roman"/>
          <w:sz w:val="24"/>
          <w:szCs w:val="24"/>
          <w:rtl w:val="0"/>
        </w:rPr>
        <w:t xml:space="preserve">organic seed as important to the integrity of organic has remained consistently high. In the 2010 survey, the average agreement score with the statement that organic seed is important to the success of organic production was 4 ('somewhat' important), which increased to 4.3 in 2015 and 2020. The </w:t>
      </w:r>
      <w:r w:rsidDel="00000000" w:rsidR="00000000" w:rsidRPr="00000000">
        <w:rPr>
          <w:rFonts w:ascii="Times New Roman" w:cs="Times New Roman" w:eastAsia="Times New Roman" w:hAnsi="Times New Roman"/>
          <w:sz w:val="24"/>
          <w:szCs w:val="24"/>
          <w:rtl w:val="0"/>
        </w:rPr>
        <w:t xml:space="preserve">operational profile</w:t>
      </w:r>
      <w:r w:rsidDel="00000000" w:rsidR="00000000" w:rsidRPr="00000000">
        <w:rPr>
          <w:rFonts w:ascii="Times New Roman" w:cs="Times New Roman" w:eastAsia="Times New Roman" w:hAnsi="Times New Roman"/>
          <w:sz w:val="24"/>
          <w:szCs w:val="24"/>
          <w:rtl w:val="0"/>
        </w:rPr>
        <w:t xml:space="preserve"> of organic growers matches the profile of agricultural production more generally in that farm sizes are increasing </w:t>
      </w:r>
      <w:hyperlink r:id="rId21">
        <w:r w:rsidDel="00000000" w:rsidR="00000000" w:rsidRPr="00000000">
          <w:rPr>
            <w:rFonts w:ascii="Times New Roman" w:cs="Times New Roman" w:eastAsia="Times New Roman" w:hAnsi="Times New Roman"/>
            <w:sz w:val="24"/>
            <w:szCs w:val="24"/>
            <w:vertAlign w:val="baseline"/>
            <w:rtl w:val="0"/>
          </w:rPr>
          <w:t xml:space="preserve">Sumner_2014</w:t>
        </w:r>
      </w:hyperlink>
      <w:r w:rsidDel="00000000" w:rsidR="00000000" w:rsidRPr="00000000">
        <w:rPr>
          <w:rFonts w:ascii="Times New Roman" w:cs="Times New Roman" w:eastAsia="Times New Roman" w:hAnsi="Times New Roman"/>
          <w:sz w:val="24"/>
          <w:szCs w:val="24"/>
          <w:rtl w:val="0"/>
        </w:rPr>
        <w:t xml:space="preserve">. The average farm size over the three survey periods was 180, 275, and 346 acres. This increase is most pronounced in field and forage crops. Further, the number of crop categories planted by growers has been declining, with an average of 1.7 crop types in 2010 down to an average of 1.3 in 2020. </w:t>
      </w:r>
    </w:p>
    <w:p w:rsidR="00000000" w:rsidDel="00000000" w:rsidP="00000000" w:rsidRDefault="00000000" w:rsidRPr="00000000" w14:paraId="000000D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relationship between certifiers and organic growers has shifted over the years, as it appears that organic certifiers are becoming less strict. When non-compliant growers (i.e. growers not already using 100% organic seed) were asked whether or not their certifier had requested the increase their organic seed use, 61% responded yes in 2010, decreasing to 56% in 2015 and 46% in 2020. This decline suggests that certifiers are becoming less insistent to ensure that growers are taking measures to source organic seed. Further, reliance on non-commercial seed sources, via seed saving and seed exchange, has decreased from 23% and 24% in 2010 and 2015 to 15% in 2020. </w:t>
      </w:r>
    </w:p>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 Mean values and standard deviations (reported in pathenses) for the key variables from the organic grower survey for each time period</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05.416078984485"/>
        <w:gridCol w:w="1518.194640338505"/>
        <w:gridCol w:w="1518.194640338505"/>
        <w:gridCol w:w="1518.194640338505"/>
        <w:tblGridChange w:id="0">
          <w:tblGrid>
            <w:gridCol w:w="4805.416078984485"/>
            <w:gridCol w:w="1518.194640338505"/>
            <w:gridCol w:w="1518.194640338505"/>
            <w:gridCol w:w="1518.194640338505"/>
          </w:tblGrid>
        </w:tblGridChange>
      </w:tblGrid>
      <w:tr>
        <w:trPr>
          <w:cantSplit w:val="0"/>
          <w:trHeight w:val="415" w:hRule="atLeast"/>
          <w:tblHeader w:val="0"/>
        </w:trPr>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Organic grower survey questions</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9">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2010</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2015</w:t>
            </w:r>
          </w:p>
        </w:tc>
        <w:tc>
          <w:tcPr>
            <w:tcBorders>
              <w:top w:color="000000" w:space="0" w:sz="4" w:val="single"/>
              <w:left w:color="000000" w:space="0" w:sz="0" w:val="nil"/>
              <w:bottom w:color="000000" w:space="0" w:sz="4" w:val="single"/>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2020</w:t>
            </w:r>
          </w:p>
        </w:tc>
      </w:tr>
      <w:tr>
        <w:trPr>
          <w:cantSplit w:val="0"/>
          <w:trHeight w:val="126.71999999999998" w:hRule="atLeast"/>
          <w:tblHeader w:val="0"/>
        </w:trPr>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Proportion of acreage planted to conventional seed</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D">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0.43 (0.38)</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 (0.36)</w:t>
            </w:r>
          </w:p>
        </w:tc>
        <w:tc>
          <w:tcPr>
            <w:tcBorders>
              <w:top w:color="000000" w:space="0" w:sz="4" w:val="single"/>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D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 (0.36)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Organic availability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1">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3.55 (0.95)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3.05 (1.22)</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 (1.15)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Insufficient quantity of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5">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2.62 (1.29)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2.22 (1.23)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(1.16)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Lack of desirable genetic traits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9">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2.63 (1.33)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2.15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2.31 (1.27)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Barrier: Buyer requirements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D">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1.87 (1.26)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1.63 (1.13)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E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 (1.25)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Values organic seed</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1">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4.03 (1.07)</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4.29 (0.96)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4.32 (0.89)</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Farm size (acres)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5">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181.05 (342.15)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275.16 (645.05)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346.98 (999.54)</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Vegetable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9">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27.58 (90.34)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62.79 (427.81)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12.3 (47.81)</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Field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D">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178.21 (347.15)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259.32 (490.56)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0F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351.51 (812.27)</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w:t>
              <w:tab/>
              <w:t xml:space="preserve">Forage Crop Acreage</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1">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98.96 (124.74)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122.03 (197.63)</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172.11 (548.85)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Crop diversity</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5">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1.66 (0.64)</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6">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 (0.6)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7">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1.25 (0.56)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Certifiers request organic seed use (% yes)</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9">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61%</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A">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B">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46%</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Seed saved or traded (%)</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D">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22.54 (29.95)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E">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23.67 (31.69)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0F">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14.63 (24.05)</w:t>
            </w:r>
          </w:p>
        </w:tc>
      </w:tr>
      <w:tr>
        <w:trPr>
          <w:cantSplit w:val="0"/>
          <w:trHeight w:val="126.71999999999998" w:hRule="atLeast"/>
          <w:tblHeader w:val="0"/>
        </w:trPr>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Number of respondents (no missing data)</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1">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545</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2">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799</w:t>
            </w:r>
          </w:p>
        </w:tc>
        <w:tc>
          <w:tcPr>
            <w:tcBorders>
              <w:top w:color="000000" w:space="0" w:sz="0" w:val="nil"/>
              <w:left w:color="000000" w:space="0" w:sz="0" w:val="nil"/>
              <w:bottom w:color="000000" w:space="0" w:sz="0" w:val="nil"/>
              <w:right w:color="000000" w:space="0" w:sz="0" w:val="nil"/>
            </w:tcBorders>
            <w:tcMar>
              <w:top w:w="20.0" w:type="dxa"/>
              <w:left w:w="20.0" w:type="dxa"/>
              <w:bottom w:w="100.0" w:type="dxa"/>
              <w:right w:w="20.0" w:type="dxa"/>
            </w:tcMar>
            <w:vAlign w:val="bottom"/>
          </w:tcPr>
          <w:p w:rsidR="00000000" w:rsidDel="00000000" w:rsidP="00000000" w:rsidRDefault="00000000" w:rsidRPr="00000000" w14:paraId="00000113">
            <w:pPr>
              <w:widowControl w:val="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408</w:t>
            </w:r>
          </w:p>
        </w:tc>
      </w:tr>
    </w:tbl>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pStyle w:val="Heading3"/>
        <w:rPr>
          <w:rFonts w:ascii="Times New Roman" w:cs="Times New Roman" w:eastAsia="Times New Roman" w:hAnsi="Times New Roman"/>
        </w:rPr>
      </w:pPr>
      <w:bookmarkStart w:colFirst="0" w:colLast="0" w:name="_19dqk1ft11y7" w:id="17"/>
      <w:bookmarkEnd w:id="17"/>
      <w:r w:rsidDel="00000000" w:rsidR="00000000" w:rsidRPr="00000000">
        <w:rPr>
          <w:rFonts w:ascii="Times New Roman" w:cs="Times New Roman" w:eastAsia="Times New Roman" w:hAnsi="Times New Roman"/>
          <w:rtl w:val="0"/>
        </w:rPr>
        <w:t xml:space="preserve">5.2 Policy flexibility for those facing barriers</w:t>
      </w:r>
    </w:p>
    <w:p w:rsidR="00000000" w:rsidDel="00000000" w:rsidP="00000000" w:rsidRDefault="00000000" w:rsidRPr="00000000" w14:paraId="000001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Having described key variables from our survey, we next present our model results. First we address our first set of hypotheses, which propose that environmental policies add flexibility in order to reduce excessive burden on organic producers. We present the mean coefficient estimates and credible intervals of our model results in Figure 2. Full model results are available in </w:t>
      </w:r>
      <w:r w:rsidDel="00000000" w:rsidR="00000000" w:rsidRPr="00000000">
        <w:rPr>
          <w:rFonts w:ascii="Times New Roman" w:cs="Times New Roman" w:eastAsia="Times New Roman" w:hAnsi="Times New Roman"/>
          <w:sz w:val="24"/>
          <w:szCs w:val="24"/>
          <w:rtl w:val="0"/>
        </w:rPr>
        <w:t xml:space="preserve">Appendix B</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11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 the four organic seed sourcing barriers facing organic growers, three have a significant positive relationship with planting conventional seed. The barriers related to organic seed variety availability, lacking desirable genetic traits, and limitations in choice via buyer requirements have effect sizes of 0.14, 0.13, and 0.11, respectively. In other words, for each unit higher that a grower ranks the barrier of organic variety availability, the proportion of acreage planted to convention seed increases by a mean estimate of 0.14 (14%). This estimate is based on all other variables being held constant at their mean or baseline, so for example, these effects are calculated based on having an average farm size, number of crops, and value rating of organic seed, among other variables. The barrier related to insufficient quantity of an organic variety was not significantly related to conventional seed use. </w:t>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Regarding survey year, we find that conventional seed use significantly decreased over time. In 2015, the coefficient estimate is -0.17, suggesting that compared to the baseline data in 2010, growers are planting 17% less of their acreage to conventional seed. Likewise in 2015, growers are planting 33% less of their acreage to conventional seed. </w:t>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971800"/>
            <wp:effectExtent b="0" l="0" r="0" t="0"/>
            <wp:docPr id="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2 Coefficient estimates and credible intervals for the beta regression assessing the proportion of total acreage of growers main crop planted with conventional seed.</w:t>
      </w:r>
    </w:p>
    <w:p w:rsidR="00000000" w:rsidDel="00000000" w:rsidP="00000000" w:rsidRDefault="00000000" w:rsidRPr="00000000" w14:paraId="0000011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fig1.2, echo = F, out.width = '100%', fig.align = 'center', fig.cap = 'Coefficient estimates and credible intervals for the beta regression assessing the proportion of total acreage of a growers main crop planted with conventional seed.'}</w:t>
      </w:r>
    </w:p>
    <w:p w:rsidR="00000000" w:rsidDel="00000000" w:rsidP="00000000" w:rsidRDefault="00000000" w:rsidRPr="00000000" w14:paraId="000001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knitr::include_graphics('~/Documents/Davis/R-Projects/organicseed_adoption/figures/figure2.png')</w:t>
      </w:r>
    </w:p>
    <w:p w:rsidR="00000000" w:rsidDel="00000000" w:rsidP="00000000" w:rsidRDefault="00000000" w:rsidRPr="00000000" w14:paraId="000001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22">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our first hypotheses: H1a) Conventional seed use will be highest among growers experiencing more significant organic seed sourcing barriers and H1b) Conventional seed use will decline over time. Together, they suggest that the flexibility of the organic seed policy is being used by those with the highest seed sourcing burden, and as the organic seed market develops over time, growers rely less on the seed policy exception. </w:t>
      </w:r>
    </w:p>
    <w:p w:rsidR="00000000" w:rsidDel="00000000" w:rsidP="00000000" w:rsidRDefault="00000000" w:rsidRPr="00000000" w14:paraId="00000124">
      <w:pPr>
        <w:pStyle w:val="Heading3"/>
        <w:rPr>
          <w:rFonts w:ascii="Times New Roman" w:cs="Times New Roman" w:eastAsia="Times New Roman" w:hAnsi="Times New Roman"/>
        </w:rPr>
      </w:pPr>
      <w:bookmarkStart w:colFirst="0" w:colLast="0" w:name="_7535ofnzkgky" w:id="18"/>
      <w:bookmarkEnd w:id="18"/>
      <w:r w:rsidDel="00000000" w:rsidR="00000000" w:rsidRPr="00000000">
        <w:rPr>
          <w:rFonts w:ascii="Times New Roman" w:cs="Times New Roman" w:eastAsia="Times New Roman" w:hAnsi="Times New Roman"/>
          <w:rtl w:val="0"/>
        </w:rPr>
        <w:t xml:space="preserve">5.3 Conventionalized farmer profiles rely more on policy flexibility</w:t>
      </w:r>
    </w:p>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Next we address our second set of hypotheses, which propose that policy flexibility enables some farmers to take advantage of the policy's leniency. A grower's rating of organic seed's value has a significant negative relationship with planting conventional seed. Our model estimates an effect size of -0.2, meaning that for every unit higher that a grower ranks the value of organic seed, the acreage planted to conventional seed decreases by 20%. All else held equal – so for example farmers who experience the same barriers and have the same farm sizes – the principled belief that organic seed is important to the integrity of organic farming has a considerable effect on how much of acreage is planted to conventional versus organic seed.</w:t>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Regarding operational characteristics, farm size has a significant positive relationship with planting conventional seed. For every unit larger a farm is, growers plant 11% more of their acreage to conventional seed. Crop diversity has a negative relationship with planting conventional seed, with an effect size of -0.07, but credible intervals that span between -0.14 and 0.01. </w:t>
      </w:r>
    </w:p>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results support all three of our second hypotheses: H2a) Conventional seed use will be highest among those with who place low value on organic seeds' contribution to organic integrity, H2b) Conventional seed use will be highest on large farms, and H2c) Conventional seed use will be highest on low-diversity farms. These results suggest that certain farmers' profiles – notably those that align with a 'conventionalized' organic grower – rely more on the organic seed policy exception than more 'principled' organic growers. </w:t>
      </w:r>
    </w:p>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crop and regional controls in our model highlight considerable variation in adoption based on these different organic subsystems. Forage crop growers plant an estimated 85% more of their acreage to conventional seed compared to field crop growers, while vegetables crop growers plant an estimated 21% more. Regionally, compared to the baseline of the North Central region,  growers from both the West and the Northeast regions plant significantly more of their acreage to conventional seed, with coefficient estimates of 0.35 and 0.24, respectively. The estimate for the Southern region is also higher than the baseline (0.12), though the credible intervals of this estimate cross over zero. </w:t>
      </w:r>
    </w:p>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take results related to our second set of hypotheses and visualize the differences in predicted acreage planted to conventional seed based on these two farmer profiles: conventionalized and principled. A conventionalized farmer profile is defined by a low value of organic seed (25th percentile), large farm size (75th percentile), and low crop diversity (25th percentile). A principled farmer profile is the opposite, characterized by a high value of organic seed, small farms, and high crop diversity. We calculate these profiles for each region in the United States and use the example of vegetable crops. All other variables are fixed at their median value.</w:t>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0">
      <w:pPr>
        <w:rPr/>
      </w:pPr>
      <w:r w:rsidDel="00000000" w:rsidR="00000000" w:rsidRPr="00000000">
        <w:rPr>
          <w:rFonts w:ascii="Times New Roman" w:cs="Times New Roman" w:eastAsia="Times New Roman" w:hAnsi="Times New Roman"/>
          <w:sz w:val="24"/>
          <w:szCs w:val="24"/>
          <w:rtl w:val="0"/>
        </w:rPr>
        <w:t xml:space="preserve">Figure 3 visualizes model predictions of conventional seed use by hypothetical vegetable growers from these two farmer profiles across regions in the United States. From the predicted values we see a consistent difference between the two farm profiles: conventionalized farmers rely more on the seed policy loophole, planting between 20-39% more acreage to conventional seed than principled farmers in 2010, 22-73% in 2015, and 8-20% in 2020.  We run these same predictions for Field and Forage crops (available in Appendix C) and observe even higher differences between the two farm profiles, consistent over the time periods.  </w:t>
      </w: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90900"/>
            <wp:effectExtent b="0" l="0" r="0" t="0"/>
            <wp:docPr id="3"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Figure 3. Predicted mean estimates and their credible intervals (not visible due to small size) for vegetable growers of two farmer profiles. Estimates are made for each region of the US, represented by the different colored points (see legend). The points represent the mean estimates and lines connecting points highlight the different between 'practical' and 'principled' growers in each time period.</w:t>
      </w:r>
    </w:p>
    <w:p w:rsidR="00000000" w:rsidDel="00000000" w:rsidP="00000000" w:rsidRDefault="00000000" w:rsidRPr="00000000" w14:paraId="0000013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 fig1.3, echo = F, out.width = '100%', fig.align = 'center', fig.cap = 'Predicted mean estimates and their credible intervals (not visible due to small size) for vegetable growers of two farmer profiles. Estimates are made for each region of the US, represented by the different colored points (see legend). The points represent the mean estimates and lines connecting points highlight the difference between practical and principled growers in each time period.</w:t>
      </w:r>
    </w:p>
    <w:p w:rsidR="00000000" w:rsidDel="00000000" w:rsidP="00000000" w:rsidRDefault="00000000" w:rsidRPr="00000000" w14:paraId="0000013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3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knitr::include_graphics('~/Documents/Davis/R-Projects/organicseed_adoption/figures/figure3.png')</w:t>
      </w:r>
    </w:p>
    <w:p w:rsidR="00000000" w:rsidDel="00000000" w:rsidP="00000000" w:rsidRDefault="00000000" w:rsidRPr="00000000" w14:paraId="0000013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p w:rsidR="00000000" w:rsidDel="00000000" w:rsidP="00000000" w:rsidRDefault="00000000" w:rsidRPr="00000000" w14:paraId="00000138">
      <w:pPr>
        <w:pStyle w:val="Heading3"/>
        <w:rPr>
          <w:rFonts w:ascii="Times New Roman" w:cs="Times New Roman" w:eastAsia="Times New Roman" w:hAnsi="Times New Roman"/>
        </w:rPr>
      </w:pPr>
      <w:bookmarkStart w:colFirst="0" w:colLast="0" w:name="_vflef7ygjf0c" w:id="19"/>
      <w:bookmarkEnd w:id="19"/>
      <w:r w:rsidDel="00000000" w:rsidR="00000000" w:rsidRPr="00000000">
        <w:rPr>
          <w:rFonts w:ascii="Times New Roman" w:cs="Times New Roman" w:eastAsia="Times New Roman" w:hAnsi="Times New Roman"/>
          <w:rtl w:val="0"/>
        </w:rPr>
        <w:t xml:space="preserve">5.4 Descriptive??</w:t>
      </w:r>
    </w:p>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control, namely, certifier guidance. And additional steps</w:t>
      </w:r>
    </w:p>
    <w:p w:rsidR="00000000" w:rsidDel="00000000" w:rsidP="00000000" w:rsidRDefault="00000000" w:rsidRPr="00000000" w14:paraId="0000013A">
      <w:pPr>
        <w:pStyle w:val="Heading2"/>
        <w:rPr/>
      </w:pPr>
      <w:bookmarkStart w:colFirst="0" w:colLast="0" w:name="_kr1o57hpms4n" w:id="20"/>
      <w:bookmarkEnd w:id="20"/>
      <w:r w:rsidDel="00000000" w:rsidR="00000000" w:rsidRPr="00000000">
        <w:rPr>
          <w:rtl w:val="0"/>
        </w:rPr>
        <w:t xml:space="preserve">6. Discussion</w:t>
      </w:r>
    </w:p>
    <w:p w:rsidR="00000000" w:rsidDel="00000000" w:rsidP="00000000" w:rsidRDefault="00000000" w:rsidRPr="00000000" w14:paraId="0000013B">
      <w:pPr>
        <w:pStyle w:val="Heading3"/>
        <w:rPr/>
      </w:pPr>
      <w:bookmarkStart w:colFirst="0" w:colLast="0" w:name="_z5v22828azdk" w:id="21"/>
      <w:bookmarkEnd w:id="21"/>
      <w:r w:rsidDel="00000000" w:rsidR="00000000" w:rsidRPr="00000000">
        <w:rPr>
          <w:rtl w:val="0"/>
        </w:rPr>
        <w:t xml:space="preserve">6.1 flexibility in the organic standard is double-edged. </w:t>
      </w:r>
    </w:p>
    <w:p w:rsidR="00000000" w:rsidDel="00000000" w:rsidP="00000000" w:rsidRDefault="00000000" w:rsidRPr="00000000" w14:paraId="0000013C">
      <w:pPr>
        <w:rPr/>
      </w:pPr>
      <w:r w:rsidDel="00000000" w:rsidR="00000000" w:rsidRPr="00000000">
        <w:rPr>
          <w:rtl w:val="0"/>
        </w:rPr>
        <w:t xml:space="preserve">We find support for both our hypotheses, suggesting that the flexibility of the organic standard is a double edges sword. It helps and hurts. This is consistent with what?? Incentive structures work differently for different people. Especially in the environmental world</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it is both</w:t>
      </w:r>
    </w:p>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There are certainly those that are facing real barriers</w:t>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But there are also those that, holding barriers constant, aren;t budging. Large, simpler farms</w:t>
      </w:r>
    </w:p>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This represents the general tension in 'sustainability' more generally…</w:t>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limits to the analysis</w:t>
      </w:r>
    </w:p>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characteristics align with traditional scaling visions, whereby economies of scale are the focus and pro-innovation attitudes are relevant largely to the extent that they are perceived as cost-saving, rather than related to a stewardship ethic </w:t>
      </w:r>
      <w:hyperlink r:id="rId24">
        <w:r w:rsidDel="00000000" w:rsidR="00000000" w:rsidRPr="00000000">
          <w:rPr>
            <w:rFonts w:ascii="Times New Roman" w:cs="Times New Roman" w:eastAsia="Times New Roman" w:hAnsi="Times New Roman"/>
            <w:sz w:val="24"/>
            <w:szCs w:val="24"/>
            <w:vertAlign w:val="baseline"/>
            <w:rtl w:val="0"/>
          </w:rPr>
          <w:t xml:space="preserve">Buttel_Jr_Larson_1990</w:t>
        </w:r>
      </w:hyperlink>
      <w:r w:rsidDel="00000000" w:rsidR="00000000" w:rsidRPr="00000000">
        <w:rPr>
          <w:rFonts w:ascii="Times New Roman" w:cs="Times New Roman" w:eastAsia="Times New Roman" w:hAnsi="Times New Roman"/>
          <w:sz w:val="24"/>
          <w:szCs w:val="24"/>
          <w:rtl w:val="0"/>
        </w:rPr>
        <w:t xml:space="preserve">. For example, the Cal-Organic farm has grown from a quarter of an acre of organic production to one of the nation's largest organic vegetable providers, in part due to merger with conventional operations and industrial supply chain connection with Whole Foods (</w:t>
      </w:r>
      <w:hyperlink r:id="rId25">
        <w:r w:rsidDel="00000000" w:rsidR="00000000" w:rsidRPr="00000000">
          <w:rPr>
            <w:rFonts w:ascii="Times New Roman" w:cs="Times New Roman" w:eastAsia="Times New Roman" w:hAnsi="Times New Roman"/>
            <w:color w:val="1155cc"/>
            <w:sz w:val="24"/>
            <w:szCs w:val="24"/>
            <w:u w:val="single"/>
            <w:rtl w:val="0"/>
          </w:rPr>
          <w:t xml:space="preserve">https://calorganicfarms.com/our-story/</w:t>
        </w:r>
      </w:hyperlink>
      <w:r w:rsidDel="00000000" w:rsidR="00000000" w:rsidRPr="00000000">
        <w:rPr>
          <w:rFonts w:ascii="Times New Roman" w:cs="Times New Roman" w:eastAsia="Times New Roman" w:hAnsi="Times New Roman"/>
          <w:sz w:val="24"/>
          <w:szCs w:val="24"/>
          <w:rtl w:val="0"/>
        </w:rPr>
        <w:t xml:space="preserve">). In another example, Bayer CropScience, one of the largest agri-chemical and seed companies in the world, has recently announced its entry into the organic seed market (Bayer 2021). These examples represent two of the traditional pathways identified in the sustainability transitions literature, where the objective is scaling to substitute or hybridize with the dominant conventional system </w:t>
      </w:r>
      <w:hyperlink r:id="rId26">
        <w:r w:rsidDel="00000000" w:rsidR="00000000" w:rsidRPr="00000000">
          <w:rPr>
            <w:rFonts w:ascii="Times New Roman" w:cs="Times New Roman" w:eastAsia="Times New Roman" w:hAnsi="Times New Roman"/>
            <w:sz w:val="24"/>
            <w:szCs w:val="24"/>
            <w:vertAlign w:val="baseline"/>
            <w:rtl w:val="0"/>
          </w:rPr>
          <w:t xml:space="preserve">Geels_Schot_2007</w:t>
        </w:r>
      </w:hyperlink>
      <w:r w:rsidDel="00000000" w:rsidR="00000000" w:rsidRPr="00000000">
        <w:rPr>
          <w:rFonts w:ascii="Times New Roman" w:cs="Times New Roman" w:eastAsia="Times New Roman" w:hAnsi="Times New Roman"/>
          <w:sz w:val="24"/>
          <w:szCs w:val="24"/>
          <w:rtl w:val="0"/>
        </w:rPr>
        <w:t xml:space="preserve">. In these pathways, niche systems will conform in order to compete under the same selection pressures of the mainstream system </w:t>
      </w:r>
      <w:hyperlink r:id="rId27">
        <w:r w:rsidDel="00000000" w:rsidR="00000000" w:rsidRPr="00000000">
          <w:rPr>
            <w:rFonts w:ascii="Times New Roman" w:cs="Times New Roman" w:eastAsia="Times New Roman" w:hAnsi="Times New Roman"/>
            <w:sz w:val="24"/>
            <w:szCs w:val="24"/>
            <w:vertAlign w:val="baseline"/>
            <w:rtl w:val="0"/>
          </w:rPr>
          <w:t xml:space="preserve">Smith_Raven_2012</w:t>
        </w:r>
      </w:hyperlink>
      <w:r w:rsidDel="00000000" w:rsidR="00000000" w:rsidRPr="00000000">
        <w:rPr>
          <w:rFonts w:ascii="Times New Roman" w:cs="Times New Roman" w:eastAsia="Times New Roman" w:hAnsi="Times New Roman"/>
          <w:sz w:val="24"/>
          <w:szCs w:val="24"/>
          <w:rtl w:val="0"/>
        </w:rPr>
        <w:t xml:space="preserve">, which includes hierarchical and formalized industrial markets for business-first operations </w:t>
      </w:r>
      <w:hyperlink r:id="rId28">
        <w:r w:rsidDel="00000000" w:rsidR="00000000" w:rsidRPr="00000000">
          <w:rPr>
            <w:rFonts w:ascii="Times New Roman" w:cs="Times New Roman" w:eastAsia="Times New Roman" w:hAnsi="Times New Roman"/>
            <w:sz w:val="24"/>
            <w:szCs w:val="24"/>
            <w:vertAlign w:val="baseline"/>
            <w:rtl w:val="0"/>
          </w:rPr>
          <w:t xml:space="preserve">Daloğlu_Nassauer_Riolo_Scavia_2014_Gaitán-Cremaschi_Klerkx_Duncan_Trienekens_Huenchuleo_Dogliotti_Contesse_Rossing_2018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second farm model, the 'alternative' innovator, is typified by smaller operations that source seed from diverse sources, including non-commercial sources, and have stronger attitudes towards the value of organic seed beyond its cost-saving potential. These characteristics present an alternative to the fit-and-conform substitution by integrating alternative institutions for seed development and exchange, as well making decisions based on the organic ethic </w:t>
      </w:r>
      <w:hyperlink r:id="rId29">
        <w:r w:rsidDel="00000000" w:rsidR="00000000" w:rsidRPr="00000000">
          <w:rPr>
            <w:rFonts w:ascii="Times New Roman" w:cs="Times New Roman" w:eastAsia="Times New Roman" w:hAnsi="Times New Roman"/>
            <w:sz w:val="24"/>
            <w:szCs w:val="24"/>
            <w:vertAlign w:val="baseline"/>
            <w:rtl w:val="0"/>
          </w:rPr>
          <w:t xml:space="preserve">Daloğlu_Nassauer_Riolo_Scavia_2014_Gaitán-Cremaschi_Klerkx_Duncan_Trienekens_Huenchuleo_Dogliotti_Contesse_Rossing_2018</w:t>
        </w:r>
      </w:hyperlink>
      <w:r w:rsidDel="00000000" w:rsidR="00000000" w:rsidRPr="00000000">
        <w:rPr>
          <w:rFonts w:ascii="Times New Roman" w:cs="Times New Roman" w:eastAsia="Times New Roman" w:hAnsi="Times New Roman"/>
          <w:sz w:val="24"/>
          <w:szCs w:val="24"/>
          <w:rtl w:val="0"/>
        </w:rPr>
        <w:t xml:space="preserve">. For example, farms like Bee Heaven Farm in Florida produce mixed vegetables for direct sales on five acres, and grow out seed for use on their operation. Farms like these are even going as far as re-asserting their ethic through initiatives like the "Real Organic" label, that oppose what is perceived as the industrial co-opting of the organic standard (</w:t>
      </w:r>
      <w:hyperlink r:id="rId30">
        <w:r w:rsidDel="00000000" w:rsidR="00000000" w:rsidRPr="00000000">
          <w:rPr>
            <w:rFonts w:ascii="Times New Roman" w:cs="Times New Roman" w:eastAsia="Times New Roman" w:hAnsi="Times New Roman"/>
            <w:sz w:val="24"/>
            <w:szCs w:val="24"/>
            <w:u w:val="single"/>
            <w:rtl w:val="0"/>
          </w:rPr>
          <w:t xml:space="preserve">www.realorganicproject.org</w:t>
        </w:r>
      </w:hyperlink>
      <w:r w:rsidDel="00000000" w:rsidR="00000000" w:rsidRPr="00000000">
        <w:rPr>
          <w:rFonts w:ascii="Times New Roman" w:cs="Times New Roman" w:eastAsia="Times New Roman" w:hAnsi="Times New Roman"/>
          <w:sz w:val="24"/>
          <w:szCs w:val="24"/>
          <w:rtl w:val="0"/>
        </w:rPr>
        <w:t xml:space="preserve">). These approaches resemble one of two alternative pathways: a stretch-and-transform substitution pathway, where the niche aims to modify the 'rules of the game' to match their innovation systems' approach </w:t>
      </w:r>
      <w:hyperlink r:id="rId31">
        <w:r w:rsidDel="00000000" w:rsidR="00000000" w:rsidRPr="00000000">
          <w:rPr>
            <w:rFonts w:ascii="Times New Roman" w:cs="Times New Roman" w:eastAsia="Times New Roman" w:hAnsi="Times New Roman"/>
            <w:sz w:val="24"/>
            <w:szCs w:val="24"/>
            <w:vertAlign w:val="baseline"/>
            <w:rtl w:val="0"/>
          </w:rPr>
          <w:t xml:space="preserve">Smith_Fressoli_Abrol_Arond_Ely_2016</w:t>
        </w:r>
      </w:hyperlink>
      <w:r w:rsidDel="00000000" w:rsidR="00000000" w:rsidRPr="00000000">
        <w:rPr>
          <w:rFonts w:ascii="Times New Roman" w:cs="Times New Roman" w:eastAsia="Times New Roman" w:hAnsi="Times New Roman"/>
          <w:sz w:val="24"/>
          <w:szCs w:val="24"/>
          <w:rtl w:val="0"/>
        </w:rPr>
        <w:t xml:space="preserve">; or a vision of scaling that aims not to substitute or compete with the mainstream at all, but rather, sustainably coexist as a niche with its own institutions </w:t>
      </w:r>
      <w:hyperlink r:id="rId32">
        <w:r w:rsidDel="00000000" w:rsidR="00000000" w:rsidRPr="00000000">
          <w:rPr>
            <w:rFonts w:ascii="Times New Roman" w:cs="Times New Roman" w:eastAsia="Times New Roman" w:hAnsi="Times New Roman"/>
            <w:sz w:val="24"/>
            <w:szCs w:val="24"/>
            <w:vertAlign w:val="baseline"/>
            <w:rtl w:val="0"/>
          </w:rPr>
          <w:t xml:space="preserve">Jain_Islam_Goossen_Nair_2023</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pStyle w:val="Heading3"/>
        <w:rPr/>
      </w:pPr>
      <w:bookmarkStart w:colFirst="0" w:colLast="0" w:name="_hou9awn4hqbz" w:id="22"/>
      <w:bookmarkEnd w:id="22"/>
      <w:r w:rsidDel="00000000" w:rsidR="00000000" w:rsidRPr="00000000">
        <w:rPr>
          <w:rtl w:val="0"/>
        </w:rPr>
        <w:t xml:space="preserve">6.2 Organic Policy recommendations</w:t>
      </w:r>
    </w:p>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SEE Kiki's recomendations</w:t>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6.1 Environmental policy flexibility should be tailored to specific cases and monitor for shirking</w:t>
      </w:r>
    </w:p>
    <w:p w:rsidR="00000000" w:rsidDel="00000000" w:rsidP="00000000" w:rsidRDefault="00000000" w:rsidRPr="00000000" w14:paraId="0000014C">
      <w:pPr>
        <w:rPr/>
      </w:pPr>
      <w:r w:rsidDel="00000000" w:rsidR="00000000" w:rsidRPr="00000000">
        <w:rPr>
          <w:rtl w:val="0"/>
        </w:rPr>
        <w:t xml:space="preserve">If the flexibility is about allowing for innovation, there need to be complementary policies that support innovation</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Measuring availability has been addressed in the EU through the creation of an organic seed database, in which all organic seeds must be registered (</w:t>
      </w:r>
      <w:hyperlink r:id="rId33">
        <w:r w:rsidDel="00000000" w:rsidR="00000000" w:rsidRPr="00000000">
          <w:rPr>
            <w:rFonts w:ascii="Times New Roman" w:cs="Times New Roman" w:eastAsia="Times New Roman" w:hAnsi="Times New Roman"/>
            <w:color w:val="1155cc"/>
            <w:sz w:val="24"/>
            <w:szCs w:val="24"/>
            <w:u w:val="single"/>
            <w:rtl w:val="0"/>
          </w:rPr>
          <w:t xml:space="preserve">LiveSeed</w:t>
        </w:r>
      </w:hyperlink>
      <w:r w:rsidDel="00000000" w:rsidR="00000000" w:rsidRPr="00000000">
        <w:rPr>
          <w:rFonts w:ascii="Times New Roman" w:cs="Times New Roman" w:eastAsia="Times New Roman" w:hAnsi="Times New Roman"/>
          <w:sz w:val="24"/>
          <w:szCs w:val="24"/>
          <w:rtl w:val="0"/>
        </w:rPr>
        <w:t xml:space="preserve">). And consequently, these derogations are slated to be phased out by 2036.</w:t>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there is enabling of laggards this is also having negative consequences on the organic seed sector</w:t>
      </w:r>
    </w:p>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Consequences for the organic seed innovation system – puts them in a bind – uncertain demand</w:t>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Agri-environmental policy instrument effectiveness improves if characteristics of the target population are taken into account (Pineiro et al. 2020). </w:t>
      </w:r>
    </w:p>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yet, policymakers tend to reduce decision-making down to economic and structural factors, without accounting for the variety of farmer motivations (Brown et al. 2021; The farmer typology one).</w:t>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 course, the goal is to get the balance just right. To move towards more certain compliance while reducing exit, shirking, and promoting necessary innovation. </w:t>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striking this balance with a heterogenous firms means that policy needs to be nimble. to recognize that there are different kinds of farms in the organic niche. </w:t>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Those that are looking for the industrial option will continue to be laggards unless 1. Policy becomes more strict and their either comply or exit, and 2. Seed becomes affordable.</w:t>
      </w:r>
    </w:p>
    <w:p w:rsidR="00000000" w:rsidDel="00000000" w:rsidP="00000000" w:rsidRDefault="00000000" w:rsidRPr="00000000" w14:paraId="0000015A">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Increase stringency gradually. Prove that they have made efforts and if availability is a problem, that they take action themselves. Larger farms have the resources, but no one is contracting…</w:t>
      </w:r>
    </w:p>
    <w:p w:rsidR="00000000" w:rsidDel="00000000" w:rsidP="00000000" w:rsidRDefault="00000000" w:rsidRPr="00000000" w14:paraId="0000015B">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Support expansion of organic seed. </w:t>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closing of the loophole is happening in Europe</w:t>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this is easier in Europe where there is a seed database</w:t>
      </w:r>
    </w:p>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Those that are truer to organic, however, should not be completely crowded out. Competition policy around seed generally needs to be sure to be cautious for maintaining diversity. </w:t>
      </w:r>
    </w:p>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Though the standard supports organic seed market development and innovation by requiring its use, it simultaneously creates challenges for incentivizing entrepreneurial activity due to this exception, and leaves the decision to certifiers for assessing commercial availability and viable alternatives </w:t>
      </w:r>
      <w:hyperlink r:id="rId34">
        <w:r w:rsidDel="00000000" w:rsidR="00000000" w:rsidRPr="00000000">
          <w:rPr>
            <w:rFonts w:ascii="Times New Roman" w:cs="Times New Roman" w:eastAsia="Times New Roman" w:hAnsi="Times New Roman"/>
            <w:color w:val="cc2936"/>
            <w:sz w:val="24"/>
            <w:szCs w:val="24"/>
            <w:u w:val="none"/>
            <w:rtl w:val="0"/>
          </w:rPr>
          <w:t xml:space="preserve">(Renaud et al., 2016)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5">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More broadly, the policy implications are for an iterative and diversified approach for policy flexibility. To ensure that're not enabling laggards, policies can take measures to have firms show evidence of change, engaging in concrete ways of supporting innovation</w:t>
      </w:r>
    </w:p>
    <w:p w:rsidR="00000000" w:rsidDel="00000000" w:rsidP="00000000" w:rsidRDefault="00000000" w:rsidRPr="00000000" w14:paraId="00000166">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24"/>
          <w:szCs w:val="24"/>
          <w:rtl w:val="0"/>
        </w:rPr>
        <w:t xml:space="preserve">Is it about public needing to support niche innovations, directed more resources to regulating. In part, for organic and similar sustainability movements, there will also need to be a consideration of what kind of movement </w:t>
      </w:r>
      <w:r w:rsidDel="00000000" w:rsidR="00000000" w:rsidRPr="00000000">
        <w:rPr>
          <w:rtl w:val="0"/>
        </w:rPr>
      </w:r>
    </w:p>
    <w:sectPr>
      <w:footerReference r:id="rId35" w:type="default"/>
      <w:footerReference r:id="rId36" w:type="first"/>
      <w:pgSz w:h="15840" w:w="12240"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Liza Wood" w:id="0" w:date="2023-08-16T11:40:11Z">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[[[What's missing: A lot of the attention on getting the policy mixes just right tends to treat firms as purely rational actors (Timbe and Winter 2015). But in reality, firm-level decisions are made by actors with varying risk tolerances, entrepreneurial initiatives, and environmental values and strategies (Ambec). This is especially true for agricultural settings, where farmers embrace business models that balance economic and environmental values. Based on this variation, farmers are likely to respond to environmental regulation differently.]]]</w:t>
      </w:r>
    </w:p>
  </w:comment>
  <w:comment w:author="Liza Wood" w:id="3" w:date="2023-08-16T10:36:44Z">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 the case of EU agriculture, derogations on the Nitrate Directive has allowed higher rates of nutrient discharge based on concentration of animal operations (Kruitwagen et al. 2009).</w:t>
      </w:r>
    </w:p>
  </w:comment>
  <w:comment w:author="Liza Wood" w:id="5" w:date="2023-08-17T10:48:28Z">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while this pitting of small agrarian vs. large conventional is reductive, reflections a real tension between farmers focused on practice, in the technical sense, and farmers focused on principles (Darnhofer 2010, Guthman 2014)</w:t>
      </w:r>
    </w:p>
  </w:comment>
  <w:comment w:author="Liza Wood" w:id="7" w:date="2023-08-17T13:35:06Z">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 I also want to test: H1c. negatively associated with the number of years a growers has been certified</w:t>
      </w:r>
    </w:p>
  </w:comment>
  <w:comment w:author="Liza Wood" w:id="1" w:date="2023-08-16T10:35:17Z">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Of course, the goal is to get the balance of stringent and flexible environmental policy just right (Gunningham and Sinclair 1999; Pineiro et al. 2020). For example, experimental increases in mandatory contributions to the environment reduce farmers' voluntary contributions in the context of the Common Agricultural Policy. (Barreiro-Hurle et al. 2023)</w:t>
      </w:r>
    </w:p>
  </w:comment>
  <w:comment w:author="Liza Wood" w:id="2" w:date="2023-08-16T10:23:00Z">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Flexibility doesn't always mean voluntary. Mandatory can still be soft, such as mandatory plan writing with little enforcement (Perez 2015, Osmond 2015). And voluntary can have burdensome requirements, for example excessive bureaucracy and changing standards may make participants exit, as in the case of organic certifications (Flaten et al. 2010).</w:t>
      </w:r>
    </w:p>
  </w:comment>
  <w:comment w:author="Liza Wood" w:id="8" w:date="2023-08-18T10:41:23Z">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Depending on whether I use descriptive stuff I should come back and describe where it came from?</w:t>
      </w:r>
    </w:p>
  </w:comment>
  <w:comment w:author="Liza Wood" w:id="6" w:date="2023-08-17T10:46:27Z">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model of conventional farming has been made organic mainly through input substitution in order to gain premiums, and relying on exceptions or flexible/watered-down standards that growers who pioneered the original movement disagree with.</w:t>
      </w:r>
    </w:p>
  </w:comment>
  <w:comment w:author="Liza Wood" w:id="4" w:date="2023-08-17T13:57:52Z">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And though the NOSB has outlined supplemental guidance for growers and certifiers to help define relevant concepts and record seed sourcing efforts (NOSB 2018), the guidance still needs work (Hubbard et al. 2022)</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8">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9">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B">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6D">
    <w:pPr>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170">
      <w:pPr>
        <w:spacing w:line="240" w:lineRule="auto"/>
        <w:rPr>
          <w:rFonts w:ascii="Times New Roman" w:cs="Times New Roman" w:eastAsia="Times New Roman" w:hAnsi="Times New Roman"/>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"When there are no organic or in-conversion seeds or vegetative propagating material of a suitable variety available you may use non-organic" (</w:t>
      </w:r>
      <w:hyperlink r:id="rId1">
        <w:r w:rsidDel="00000000" w:rsidR="00000000" w:rsidRPr="00000000">
          <w:rPr>
            <w:rFonts w:ascii="Times New Roman" w:cs="Times New Roman" w:eastAsia="Times New Roman" w:hAnsi="Times New Roman"/>
            <w:color w:val="1155cc"/>
            <w:sz w:val="20"/>
            <w:szCs w:val="20"/>
            <w:u w:val="single"/>
            <w:rtl w:val="0"/>
          </w:rPr>
          <w:t xml:space="preserve">UK Soil Association</w:t>
        </w:r>
      </w:hyperlink>
      <w:r w:rsidDel="00000000" w:rsidR="00000000" w:rsidRPr="00000000">
        <w:rPr>
          <w:rFonts w:ascii="Times New Roman" w:cs="Times New Roman" w:eastAsia="Times New Roman" w:hAnsi="Times New Roman"/>
          <w:sz w:val="20"/>
          <w:szCs w:val="20"/>
          <w:rtl w:val="0"/>
        </w:rPr>
        <w:t xml:space="preserve">, (EC) 834/2007 Art. 22(2)(b) (EC) 889/2008 Art. 45(1)(b))</w:t>
      </w:r>
      <w:r w:rsidDel="00000000" w:rsidR="00000000" w:rsidRPr="00000000">
        <w:rPr>
          <w:rtl w:val="0"/>
        </w:rPr>
      </w:r>
    </w:p>
  </w:footnote>
  <w:footnote w:id="1">
    <w:p w:rsidR="00000000" w:rsidDel="00000000" w:rsidP="00000000" w:rsidRDefault="00000000" w:rsidRPr="00000000" w14:paraId="00000171">
      <w:pPr>
        <w:spacing w:line="240" w:lineRule="auto"/>
        <w:rPr>
          <w:rFonts w:ascii="Times New Roman" w:cs="Times New Roman" w:eastAsia="Times New Roman" w:hAnsi="Times New Roman"/>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Times New Roman" w:cs="Times New Roman" w:eastAsia="Times New Roman" w:hAnsi="Times New Roman"/>
          <w:sz w:val="20"/>
          <w:szCs w:val="20"/>
          <w:rtl w:val="0"/>
        </w:rPr>
        <w:t xml:space="preserve">Seeds, seedlings and planting materials from organic production shall be used. If organic seeds, seedlings and planting materials are not commercially available, then conventional, chemically untreated seed, seedlings and planting material may be used. Only if these are not commercially available may chemically treated seeds, seedlings and planting materials be used. The operator shall demonstrate the apparent need for such use. (</w:t>
      </w:r>
      <w:hyperlink r:id="rId2">
        <w:r w:rsidDel="00000000" w:rsidR="00000000" w:rsidRPr="00000000">
          <w:rPr>
            <w:rFonts w:ascii="Times New Roman" w:cs="Times New Roman" w:eastAsia="Times New Roman" w:hAnsi="Times New Roman"/>
            <w:color w:val="1155cc"/>
            <w:sz w:val="20"/>
            <w:szCs w:val="20"/>
            <w:u w:val="single"/>
            <w:rtl w:val="0"/>
          </w:rPr>
          <w:t xml:space="preserve">Kilimohai Organic</w:t>
        </w:r>
      </w:hyperlink>
      <w:r w:rsidDel="00000000" w:rsidR="00000000" w:rsidRPr="00000000">
        <w:rPr>
          <w:rFonts w:ascii="Times New Roman" w:cs="Times New Roman" w:eastAsia="Times New Roman" w:hAnsi="Times New Roman"/>
          <w:sz w:val="20"/>
          <w:szCs w:val="20"/>
          <w:rtl w:val="0"/>
        </w:rP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liza-wood/organicseed_adoption" TargetMode="External"/><Relationship Id="rId22" Type="http://schemas.openxmlformats.org/officeDocument/2006/relationships/image" Target="media/image1.png"/><Relationship Id="rId21" Type="http://schemas.openxmlformats.org/officeDocument/2006/relationships/hyperlink" Target="https://www.zotero.org/google-docs/?nfiL40" TargetMode="External"/><Relationship Id="rId24" Type="http://schemas.openxmlformats.org/officeDocument/2006/relationships/hyperlink" Target="https://www.zotero.org/google-docs/?M96lMu" TargetMode="External"/><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elsevier.com/journals/journal-of-environmental-management/0301-4797/guide-for-authors" TargetMode="External"/><Relationship Id="rId26" Type="http://schemas.openxmlformats.org/officeDocument/2006/relationships/hyperlink" Target="https://www.zotero.org/google-docs/?ke9eHl" TargetMode="External"/><Relationship Id="rId25" Type="http://schemas.openxmlformats.org/officeDocument/2006/relationships/hyperlink" Target="https://calorganicfarms.com/our-story/" TargetMode="External"/><Relationship Id="rId28" Type="http://schemas.openxmlformats.org/officeDocument/2006/relationships/hyperlink" Target="https://www.zotero.org/google-docs/?Igm7aZ" TargetMode="External"/><Relationship Id="rId27" Type="http://schemas.openxmlformats.org/officeDocument/2006/relationships/hyperlink" Target="https://www.zotero.org/google-docs/?tEIm2Y" TargetMode="External"/><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www.zotero.org/google-docs/?RppIb0" TargetMode="External"/><Relationship Id="rId7" Type="http://schemas.openxmlformats.org/officeDocument/2006/relationships/styles" Target="styles.xml"/><Relationship Id="rId8" Type="http://schemas.openxmlformats.org/officeDocument/2006/relationships/hyperlink" Target="https://www.elsevier.com/wps/find/journaldescription.cws_home/405851?generatepdf=true" TargetMode="External"/><Relationship Id="rId31" Type="http://schemas.openxmlformats.org/officeDocument/2006/relationships/hyperlink" Target="https://www.zotero.org/google-docs/?oAuSlr" TargetMode="External"/><Relationship Id="rId30" Type="http://schemas.openxmlformats.org/officeDocument/2006/relationships/hyperlink" Target="http://www.realorganicproject.org" TargetMode="External"/><Relationship Id="rId11" Type="http://schemas.openxmlformats.org/officeDocument/2006/relationships/hyperlink" Target="https://www.ams.usda.gov/sites/default/files/media/NOP%20Sunset%20Rec%20Hydrated%20Lime%20in%20Crops.pdf" TargetMode="External"/><Relationship Id="rId33" Type="http://schemas.openxmlformats.org/officeDocument/2006/relationships/hyperlink" Target="https://www.liveseed.eu/wp-content/uploads/2021/09/Policy-brief-RoadMap-National-Authorities_final_compressed-4.pdf" TargetMode="External"/><Relationship Id="rId10" Type="http://schemas.openxmlformats.org/officeDocument/2006/relationships/hyperlink" Target="https://www.ams.usda.gov/sites/default/files/media/Commercial%20Availability.pdf" TargetMode="External"/><Relationship Id="rId32" Type="http://schemas.openxmlformats.org/officeDocument/2006/relationships/hyperlink" Target="https://www.zotero.org/google-docs/?rioAiF" TargetMode="External"/><Relationship Id="rId13" Type="http://schemas.openxmlformats.org/officeDocument/2006/relationships/hyperlink" Target="https://www.zotero.org/google-docs/?4hXARi" TargetMode="External"/><Relationship Id="rId35" Type="http://schemas.openxmlformats.org/officeDocument/2006/relationships/footer" Target="footer2.xml"/><Relationship Id="rId12" Type="http://schemas.openxmlformats.org/officeDocument/2006/relationships/hyperlink" Target="https://www.ams.usda.gov/sites/default/files/media/NOP%20Final%20Rec%20Seed%20Commercial%20Availability.pdf" TargetMode="External"/><Relationship Id="rId34" Type="http://schemas.openxmlformats.org/officeDocument/2006/relationships/hyperlink" Target="https://www.zotero.org/google-docs/?broken=bElDy3" TargetMode="External"/><Relationship Id="rId15" Type="http://schemas.openxmlformats.org/officeDocument/2006/relationships/hyperlink" Target="https://www.zotero.org/google-docs/?FI07wa" TargetMode="External"/><Relationship Id="rId14" Type="http://schemas.openxmlformats.org/officeDocument/2006/relationships/hyperlink" Target="https://www.zotero.org/google-docs/?broken=rs6XVC" TargetMode="External"/><Relationship Id="rId36" Type="http://schemas.openxmlformats.org/officeDocument/2006/relationships/footer" Target="footer1.xml"/><Relationship Id="rId17" Type="http://schemas.openxmlformats.org/officeDocument/2006/relationships/hyperlink" Target="https://www.zotero.org/google-docs/?broken=pvMEt9" TargetMode="External"/><Relationship Id="rId16" Type="http://schemas.openxmlformats.org/officeDocument/2006/relationships/hyperlink" Target="https://www.zotero.org/google-docs/?broken=hg5nRL" TargetMode="External"/><Relationship Id="rId19" Type="http://schemas.openxmlformats.org/officeDocument/2006/relationships/image" Target="media/image2.png"/><Relationship Id="rId18" Type="http://schemas.openxmlformats.org/officeDocument/2006/relationships/hyperlink" Target="https://www.zotero.org/google-docs/?broken=6ndb0v"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soilassociation.org/media/25986/sa-gb-farming-growing.pdf" TargetMode="External"/><Relationship Id="rId2" Type="http://schemas.openxmlformats.org/officeDocument/2006/relationships/hyperlink" Target="https://kilimohai.org/fileadmin/02_documents/Standards/East_African_Organic_products_standard.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