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journal: Journal of Environmental Management; Agricultural systems; Agriculture and Human Values; Journal of Agriculture, Food Systems, and Community Development (2.4)</w:t>
      </w:r>
    </w:p>
    <w:p w:rsidR="00000000" w:rsidDel="00000000" w:rsidP="00000000" w:rsidRDefault="00000000" w:rsidRPr="00000000" w14:paraId="00000002">
      <w:pPr>
        <w:numPr>
          <w:ilvl w:val="0"/>
          <w:numId w:val="1"/>
        </w:numPr>
        <w:ind w:left="720" w:hanging="36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AS submission guidelines</w:t>
        </w:r>
      </w:hyperlink>
      <w:r w:rsidDel="00000000" w:rsidR="00000000" w:rsidRPr="00000000">
        <w:rPr>
          <w:rFonts w:ascii="Times New Roman" w:cs="Times New Roman" w:eastAsia="Times New Roman" w:hAnsi="Times New Roman"/>
          <w:sz w:val="24"/>
          <w:szCs w:val="24"/>
          <w:rtl w:val="0"/>
        </w:rPr>
        <w:t xml:space="preserve">: max 10,000 words </w:t>
      </w:r>
    </w:p>
    <w:p w:rsidR="00000000" w:rsidDel="00000000" w:rsidP="00000000" w:rsidRDefault="00000000" w:rsidRPr="00000000" w14:paraId="00000003">
      <w:pPr>
        <w:numPr>
          <w:ilvl w:val="0"/>
          <w:numId w:val="1"/>
        </w:numPr>
        <w:ind w:left="720" w:hanging="36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JEM</w:t>
        </w:r>
      </w:hyperlink>
      <w:r w:rsidDel="00000000" w:rsidR="00000000" w:rsidRPr="00000000">
        <w:rPr>
          <w:rFonts w:ascii="Times New Roman" w:cs="Times New Roman" w:eastAsia="Times New Roman" w:hAnsi="Times New Roman"/>
          <w:sz w:val="24"/>
          <w:szCs w:val="24"/>
          <w:rtl w:val="0"/>
        </w:rPr>
        <w:t xml:space="preserve">: no word limit but LaTeX template</w:t>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policy?</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names: 1. Wood, Liza; 2. Zystro, Jared; 2. Hubbard, Kiki</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Affiliations: 1. University of California, Davis; 2. Organic Seed Alliance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Corresponding author: Liza Wood, belwood@ucdavis.edu</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1. One Shields Ave, Davis CA 95616; 2.</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1"/>
        <w:rPr>
          <w:rFonts w:ascii="Times New Roman" w:cs="Times New Roman" w:eastAsia="Times New Roman" w:hAnsi="Times New Roman"/>
          <w:sz w:val="32"/>
          <w:szCs w:val="32"/>
        </w:rPr>
      </w:pPr>
      <w:bookmarkStart w:colFirst="0" w:colLast="0" w:name="_iq7mbgc7zayj" w:id="0"/>
      <w:bookmarkEnd w:id="0"/>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1"/>
        <w:rPr>
          <w:rFonts w:ascii="Times New Roman" w:cs="Times New Roman" w:eastAsia="Times New Roman" w:hAnsi="Times New Roman"/>
          <w:sz w:val="32"/>
          <w:szCs w:val="32"/>
        </w:rPr>
      </w:pPr>
      <w:bookmarkStart w:colFirst="0" w:colLast="0" w:name="_h3422mbbr9o6" w:id="1"/>
      <w:bookmarkEnd w:id="1"/>
      <w:r w:rsidDel="00000000" w:rsidR="00000000" w:rsidRPr="00000000">
        <w:rPr>
          <w:rFonts w:ascii="Times New Roman" w:cs="Times New Roman" w:eastAsia="Times New Roman" w:hAnsi="Times New Roman"/>
          <w:sz w:val="32"/>
          <w:szCs w:val="32"/>
          <w:rtl w:val="0"/>
        </w:rPr>
        <w:t xml:space="preserve">The double-edged sword of flexible environmental policy: The case of the seed loophole in certified organic production</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\chaptermark{organic seed policy}</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setup, warning = F, message = F, results = F, echo = F}</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library(kableExtra) ; library(dplyr)</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3">
      <w:pPr>
        <w:pStyle w:val="Heading2"/>
        <w:rPr>
          <w:rFonts w:ascii="Times New Roman" w:cs="Times New Roman" w:eastAsia="Times New Roman" w:hAnsi="Times New Roman"/>
          <w:sz w:val="24"/>
          <w:szCs w:val="24"/>
        </w:rPr>
      </w:pPr>
      <w:bookmarkStart w:colFirst="0" w:colLast="0" w:name="_844ambv7x0z1" w:id="2"/>
      <w:bookmarkEnd w:id="2"/>
      <w:r w:rsidDel="00000000" w:rsidR="00000000" w:rsidRPr="00000000">
        <w:rPr>
          <w:rFonts w:ascii="Times New Roman" w:cs="Times New Roman" w:eastAsia="Times New Roman" w:hAnsi="Times New Roman"/>
          <w:rtl w:val="0"/>
        </w:rPr>
        <w:t xml:space="preserve">1. Introduction</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Environmental policies play a critical role in addressing the complex suite of sustainability challenges facing agricultural systems – biodiversity loss, climate change, corporate consolidation and loss of food sovereignty, to name a few </w:t>
      </w:r>
      <w:hyperlink r:id="rId10">
        <w:r w:rsidDel="00000000" w:rsidR="00000000" w:rsidRPr="00000000">
          <w:rPr>
            <w:rFonts w:ascii="Times New Roman" w:cs="Times New Roman" w:eastAsia="Times New Roman" w:hAnsi="Times New Roman"/>
            <w:sz w:val="24"/>
            <w:szCs w:val="24"/>
            <w:vertAlign w:val="baseline"/>
            <w:rtl w:val="0"/>
          </w:rPr>
          <w:t xml:space="preserve">Hebinck_Klerkx_Elzen_Kok_König_Schiller_Tschersich_van Mierlo_von Wirth_2021_Piñeiro_Arias_Dürr_Elverdin_Ibáñez_Kinengyere_Opazo_Owoo_Page_Prager_et al._2020</w:t>
        </w:r>
      </w:hyperlink>
      <w:r w:rsidDel="00000000" w:rsidR="00000000" w:rsidRPr="00000000">
        <w:rPr>
          <w:rFonts w:ascii="Times New Roman" w:cs="Times New Roman" w:eastAsia="Times New Roman" w:hAnsi="Times New Roman"/>
          <w:sz w:val="24"/>
          <w:szCs w:val="24"/>
          <w:rtl w:val="0"/>
        </w:rPr>
        <w:t xml:space="preserve">. Effective environmental policy has to walk the line between being stringent enough to improve environmental outcomes, while also flexible enough so that the policies don't backfire </w:t>
      </w:r>
      <w:hyperlink r:id="rId11">
        <w:r w:rsidDel="00000000" w:rsidR="00000000" w:rsidRPr="00000000">
          <w:rPr>
            <w:rFonts w:ascii="Times New Roman" w:cs="Times New Roman" w:eastAsia="Times New Roman" w:hAnsi="Times New Roman"/>
            <w:sz w:val="24"/>
            <w:szCs w:val="24"/>
            <w:vertAlign w:val="baseline"/>
            <w:rtl w:val="0"/>
          </w:rPr>
          <w:t xml:space="preserve">Barreiro-Hurle_Dessart_Rommel_Czajkowski_Espinosa-Goded_Rodriguez-Entrena_Thomas_Zagorska_2023_Sunstein_2017</w:t>
        </w:r>
      </w:hyperlink>
      <w:r w:rsidDel="00000000" w:rsidR="00000000" w:rsidRPr="00000000">
        <w:rPr>
          <w:rFonts w:ascii="Times New Roman" w:cs="Times New Roman" w:eastAsia="Times New Roman" w:hAnsi="Times New Roman"/>
          <w:sz w:val="24"/>
          <w:szCs w:val="24"/>
          <w:rtl w:val="0"/>
        </w:rPr>
        <w:t xml:space="preserve">. Overly stringent policies may cause industries to relocate or find methods for creative compliance to avoid the burden of change </w:t>
      </w:r>
      <w:hyperlink r:id="rId12">
        <w:r w:rsidDel="00000000" w:rsidR="00000000" w:rsidRPr="00000000">
          <w:rPr>
            <w:rFonts w:ascii="Times New Roman" w:cs="Times New Roman" w:eastAsia="Times New Roman" w:hAnsi="Times New Roman"/>
            <w:sz w:val="24"/>
            <w:szCs w:val="24"/>
            <w:vertAlign w:val="baseline"/>
            <w:rtl w:val="0"/>
          </w:rPr>
          <w:t xml:space="preserve">Bartel_Barclay_2011</w:t>
        </w:r>
      </w:hyperlink>
      <w:r w:rsidDel="00000000" w:rsidR="00000000" w:rsidRPr="00000000">
        <w:rPr>
          <w:rFonts w:ascii="Times New Roman" w:cs="Times New Roman" w:eastAsia="Times New Roman" w:hAnsi="Times New Roman"/>
          <w:sz w:val="24"/>
          <w:szCs w:val="24"/>
          <w:rtl w:val="0"/>
        </w:rPr>
        <w:t xml:space="preserve">. Yet, too flexible of policies can be taken advantage of by </w:t>
      </w:r>
      <w:r w:rsidDel="00000000" w:rsidR="00000000" w:rsidRPr="00000000">
        <w:rPr>
          <w:rFonts w:ascii="Times New Roman" w:cs="Times New Roman" w:eastAsia="Times New Roman" w:hAnsi="Times New Roman"/>
          <w:sz w:val="24"/>
          <w:szCs w:val="24"/>
          <w:rtl w:val="0"/>
        </w:rPr>
        <w:t xml:space="preserve">free-riders</w:t>
      </w:r>
      <w:r w:rsidDel="00000000" w:rsidR="00000000" w:rsidRPr="00000000">
        <w:rPr>
          <w:rFonts w:ascii="Times New Roman" w:cs="Times New Roman" w:eastAsia="Times New Roman" w:hAnsi="Times New Roman"/>
          <w:sz w:val="24"/>
          <w:szCs w:val="24"/>
          <w:rtl w:val="0"/>
        </w:rPr>
        <w:t xml:space="preserve">, enabling industries to shirk environmental responsibilities while still gaining the benefits of (perceived) compliance </w:t>
      </w:r>
      <w:hyperlink r:id="rId13">
        <w:r w:rsidDel="00000000" w:rsidR="00000000" w:rsidRPr="00000000">
          <w:rPr>
            <w:rFonts w:ascii="Times New Roman" w:cs="Times New Roman" w:eastAsia="Times New Roman" w:hAnsi="Times New Roman"/>
            <w:sz w:val="24"/>
            <w:szCs w:val="24"/>
            <w:vertAlign w:val="baseline"/>
            <w:rtl w:val="0"/>
          </w:rPr>
          <w:t xml:space="preserve">Prakash_Potoski_2007</w:t>
        </w:r>
      </w:hyperlink>
      <w:r w:rsidDel="00000000" w:rsidR="00000000" w:rsidRPr="00000000">
        <w:rPr>
          <w:rFonts w:ascii="Times New Roman" w:cs="Times New Roman" w:eastAsia="Times New Roman" w:hAnsi="Times New Roman"/>
          <w:sz w:val="24"/>
          <w:szCs w:val="24"/>
          <w:rtl w:val="0"/>
        </w:rPr>
        <w:t xml:space="preserve">. In this paper we ask: </w:t>
      </w:r>
      <w:r w:rsidDel="00000000" w:rsidR="00000000" w:rsidRPr="00000000">
        <w:rPr>
          <w:rFonts w:ascii="Times New Roman" w:cs="Times New Roman" w:eastAsia="Times New Roman" w:hAnsi="Times New Roman"/>
          <w:i w:val="1"/>
          <w:sz w:val="24"/>
          <w:szCs w:val="24"/>
          <w:rtl w:val="0"/>
        </w:rPr>
        <w:t xml:space="preserve">Do flexible environmental standards spare firms undue burden or enable free-riders?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answer this question we study a flexible voluntary environmental policy: the so-called "seed loophole" of organic agricultural certification in the United States (US). Organic standards require growers to comply with a wide range of practices and sourcing rules that support soil health and  biodiversity, and reduce environmental impact. Using certified organic seed is one of the sourcing requirements, however, the policy permits exceptions if the variety is not "commercially available" (7 CFR § 205.204). This exception, mirrored in organic policies around the world, gives flexibility to growers with their seed sourcing to ideally limit the burden when organic seeds are unavailable.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analyzes organic growers' reliance on the organic seed exception using three cross-sectional surveys over the last 15 years. We measure organic growers' use of conventional seed (i.e. their reliance on the loophole), as well as attributes like their experiences with seed sourcing barriers, perceptions about organic seed, and details of their farm operation. Using these data, we model the relationship between conventional seed use and grower attributes to test hypotheses about the sparing and/or enabling effect of the flexible policy</w:t>
      </w:r>
      <w:commentRangeStart w:id="0"/>
      <w:commentRangeStart w:id="1"/>
      <w:r w:rsidDel="00000000" w:rsidR="00000000" w:rsidRPr="00000000">
        <w:rPr>
          <w:rFonts w:ascii="Times New Roman" w:cs="Times New Roman" w:eastAsia="Times New Roman" w:hAnsi="Times New Roman"/>
          <w:sz w:val="24"/>
          <w:szCs w:val="24"/>
          <w:rtl w:val="0"/>
        </w:rPr>
        <w:t xml:space="preserv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find evidence that the flexibility of the organic seed loophole is both supporting growers who need it, as well as enabling free-riding by organic farmers who follow an approach that is more practical than principled. The use of conventional seed is associated with growers who experience the highest barriers to sourcing organic seed, meaning that the policy does help reduce the burden on growers who cannot find suitable seed in organic form. At the same time, the policy also allows a certain profile of farmers to avoid organic seed use. Farmers of this profile appear to be those that represent the "conventionalization" of organic agriculture – larger, less diverse farm operations managed by growers who don't value organic seed as important for the integrity of organic production.</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commentRangeStart w:id="2"/>
      <w:r w:rsidDel="00000000" w:rsidR="00000000" w:rsidRPr="00000000">
        <w:rPr>
          <w:rFonts w:ascii="Times New Roman" w:cs="Times New Roman" w:eastAsia="Times New Roman" w:hAnsi="Times New Roman"/>
          <w:sz w:val="24"/>
          <w:szCs w:val="24"/>
          <w:rtl w:val="0"/>
        </w:rPr>
        <w:t xml:space="preserve">These results track with the idea that actors have different motivations for compliance with environmental policy </w:t>
      </w:r>
      <w:hyperlink r:id="rId14">
        <w:r w:rsidDel="00000000" w:rsidR="00000000" w:rsidRPr="00000000">
          <w:rPr>
            <w:rFonts w:ascii="Times New Roman" w:cs="Times New Roman" w:eastAsia="Times New Roman" w:hAnsi="Times New Roman"/>
            <w:sz w:val="24"/>
            <w:szCs w:val="24"/>
            <w:vertAlign w:val="baseline"/>
            <w:rtl w:val="0"/>
          </w:rPr>
          <w:t xml:space="preserve">Bartel_Barclay_2011</w:t>
        </w:r>
      </w:hyperlink>
      <w:r w:rsidDel="00000000" w:rsidR="00000000" w:rsidRPr="00000000">
        <w:rPr>
          <w:rFonts w:ascii="Times New Roman" w:cs="Times New Roman" w:eastAsia="Times New Roman" w:hAnsi="Times New Roman"/>
          <w:sz w:val="24"/>
          <w:szCs w:val="24"/>
          <w:rtl w:val="0"/>
        </w:rPr>
        <w:t xml:space="preserve"> and that policy design needs to account for this nuance and </w:t>
      </w:r>
      <w:r w:rsidDel="00000000" w:rsidR="00000000" w:rsidRPr="00000000">
        <w:rPr>
          <w:rFonts w:ascii="Times New Roman" w:cs="Times New Roman" w:eastAsia="Times New Roman" w:hAnsi="Times New Roman"/>
          <w:sz w:val="24"/>
          <w:szCs w:val="24"/>
          <w:rtl w:val="0"/>
        </w:rPr>
        <w:t xml:space="preserve">be responsive to the changing dynamics of the targeted sector </w:t>
      </w:r>
      <w:hyperlink r:id="rId15">
        <w:r w:rsidDel="00000000" w:rsidR="00000000" w:rsidRPr="00000000">
          <w:rPr>
            <w:rFonts w:ascii="Times New Roman" w:cs="Times New Roman" w:eastAsia="Times New Roman" w:hAnsi="Times New Roman"/>
            <w:sz w:val="24"/>
            <w:szCs w:val="24"/>
            <w:vertAlign w:val="baseline"/>
            <w:rtl w:val="0"/>
          </w:rPr>
          <w:t xml:space="preserve">Piñeiro_Arias_Dürr_Elverdin_Ibáñez_Kinengyere_Opazo_Owoo_Page_Prager_et al._2020</w:t>
        </w:r>
      </w:hyperlink>
      <w:r w:rsidDel="00000000" w:rsidR="00000000" w:rsidRPr="00000000">
        <w:rPr>
          <w:rFonts w:ascii="Times New Roman" w:cs="Times New Roman" w:eastAsia="Times New Roman" w:hAnsi="Times New Roman"/>
          <w:sz w:val="24"/>
          <w:szCs w:val="24"/>
          <w:rtl w:val="0"/>
        </w:rPr>
        <w:t xml:space="preserve">. Though </w:t>
      </w:r>
      <w:r w:rsidDel="00000000" w:rsidR="00000000" w:rsidRPr="00000000">
        <w:rPr>
          <w:rFonts w:ascii="Times New Roman" w:cs="Times New Roman" w:eastAsia="Times New Roman" w:hAnsi="Times New Roman"/>
          <w:sz w:val="24"/>
          <w:szCs w:val="24"/>
          <w:rtl w:val="0"/>
        </w:rPr>
        <w:t xml:space="preserve">policy design research tends to treat firms as purely rational actors </w:t>
      </w:r>
      <w:hyperlink r:id="rId16">
        <w:r w:rsidDel="00000000" w:rsidR="00000000" w:rsidRPr="00000000">
          <w:rPr>
            <w:rFonts w:ascii="Times New Roman" w:cs="Times New Roman" w:eastAsia="Times New Roman" w:hAnsi="Times New Roman"/>
            <w:sz w:val="24"/>
            <w:szCs w:val="24"/>
            <w:vertAlign w:val="baseline"/>
            <w:rtl w:val="0"/>
          </w:rPr>
          <w:t xml:space="preserve">Prakash_Potoski_2007</w:t>
        </w:r>
      </w:hyperlink>
      <w:r w:rsidDel="00000000" w:rsidR="00000000" w:rsidRPr="00000000">
        <w:rPr>
          <w:rFonts w:ascii="Times New Roman" w:cs="Times New Roman" w:eastAsia="Times New Roman" w:hAnsi="Times New Roman"/>
          <w:sz w:val="24"/>
          <w:szCs w:val="24"/>
          <w:rtl w:val="0"/>
        </w:rPr>
        <w:t xml:space="preserve">, farmers especially have different motivations and embrace business models that balance economic and environmental values </w:t>
      </w:r>
      <w:hyperlink r:id="rId17">
        <w:r w:rsidDel="00000000" w:rsidR="00000000" w:rsidRPr="00000000">
          <w:rPr>
            <w:rFonts w:ascii="Times New Roman" w:cs="Times New Roman" w:eastAsia="Times New Roman" w:hAnsi="Times New Roman"/>
            <w:sz w:val="24"/>
            <w:szCs w:val="24"/>
            <w:vertAlign w:val="baseline"/>
            <w:rtl w:val="0"/>
          </w:rPr>
          <w:t xml:space="preserve">Brown_Kovács_Herzon_Villamayor-Tomas_Albizua_Galanaki_Grammatikopoulou_McCracken_Olsson_Zinngrebe_2021_Thompson_Reimer_Prokopy_2015</w:t>
        </w:r>
      </w:hyperlink>
      <w:r w:rsidDel="00000000" w:rsidR="00000000" w:rsidRPr="00000000">
        <w:rPr>
          <w:rFonts w:ascii="Times New Roman" w:cs="Times New Roman" w:eastAsia="Times New Roman" w:hAnsi="Times New Roman"/>
          <w:sz w:val="24"/>
          <w:szCs w:val="24"/>
          <w:rtl w:val="0"/>
        </w:rPr>
        <w:t xml:space="preserve">. These come through as two identities of organic, practical and principled </w:t>
      </w:r>
      <w:hyperlink r:id="rId18">
        <w:r w:rsidDel="00000000" w:rsidR="00000000" w:rsidRPr="00000000">
          <w:rPr>
            <w:rFonts w:ascii="Times New Roman" w:cs="Times New Roman" w:eastAsia="Times New Roman" w:hAnsi="Times New Roman"/>
            <w:sz w:val="24"/>
            <w:szCs w:val="24"/>
            <w:vertAlign w:val="baseline"/>
            <w:rtl w:val="0"/>
          </w:rPr>
          <w:t xml:space="preserve">Darnhofer_Lindenthal_Bartel-Kratochvil_Zollitsch_2010</w:t>
        </w:r>
      </w:hyperlink>
      <w:r w:rsidDel="00000000" w:rsidR="00000000" w:rsidRPr="00000000">
        <w:rPr>
          <w:rFonts w:ascii="Times New Roman" w:cs="Times New Roman" w:eastAsia="Times New Roman" w:hAnsi="Times New Roman"/>
          <w:sz w:val="24"/>
          <w:szCs w:val="24"/>
          <w:rtl w:val="0"/>
        </w:rPr>
        <w:t xml:space="preserve">, which affect the ways that growers engage with the policy. Not only can reckoning with these identities help strike a better balance within the policy, it also opens up a broader conversation about the different kinds of sustainability that the policy wants to support. For organic seed, supporting different kinds of sustainability would mean developing a mix of policies that support traditional expansion of organic seed availability through stricter enforcement of the policy, as well as alternative initiatives that support more principled, grassroots organic seed programs</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will be structured as follows. In Section 2 we review existing literature on the tradeoffs of different environmental policy tools and describe the organic agriculture policy setting. We conclude the section with an articulation of our hypotheses. In Section 3 we describe our research methods, including our case based on the US, survey data collection process, and modeling approach. Next we present our results in Section 4, where we first describe organic growers and their reliance on the organic seed loophole over the last 15 years. We then explain our model results and highlight the different production models of "practical" and "principled" organic farmers. Last, we discuss the results and their implications in Section 5 and conclude in Section 6.</w:t>
      </w:r>
      <w:r w:rsidDel="00000000" w:rsidR="00000000" w:rsidRPr="00000000">
        <w:rPr>
          <w:rtl w:val="0"/>
        </w:rPr>
      </w:r>
    </w:p>
    <w:p w:rsidR="00000000" w:rsidDel="00000000" w:rsidP="00000000" w:rsidRDefault="00000000" w:rsidRPr="00000000" w14:paraId="0000002F">
      <w:pPr>
        <w:pStyle w:val="Heading2"/>
        <w:rPr>
          <w:rFonts w:ascii="Times New Roman" w:cs="Times New Roman" w:eastAsia="Times New Roman" w:hAnsi="Times New Roman"/>
        </w:rPr>
      </w:pPr>
      <w:bookmarkStart w:colFirst="0" w:colLast="0" w:name="_t04gef7hrffp" w:id="3"/>
      <w:bookmarkEnd w:id="3"/>
      <w:r w:rsidDel="00000000" w:rsidR="00000000" w:rsidRPr="00000000">
        <w:rPr>
          <w:rFonts w:ascii="Times New Roman" w:cs="Times New Roman" w:eastAsia="Times New Roman" w:hAnsi="Times New Roman"/>
          <w:rtl w:val="0"/>
        </w:rPr>
        <w:t xml:space="preserve">2. Background</w:t>
      </w:r>
    </w:p>
    <w:p w:rsidR="00000000" w:rsidDel="00000000" w:rsidP="00000000" w:rsidRDefault="00000000" w:rsidRPr="00000000" w14:paraId="00000030">
      <w:pPr>
        <w:pStyle w:val="Heading3"/>
        <w:rPr>
          <w:rFonts w:ascii="Times New Roman" w:cs="Times New Roman" w:eastAsia="Times New Roman" w:hAnsi="Times New Roman"/>
        </w:rPr>
      </w:pPr>
      <w:bookmarkStart w:colFirst="0" w:colLast="0" w:name="_s6expd1vk116" w:id="4"/>
      <w:bookmarkEnd w:id="4"/>
      <w:r w:rsidDel="00000000" w:rsidR="00000000" w:rsidRPr="00000000">
        <w:rPr>
          <w:rFonts w:ascii="Times New Roman" w:cs="Times New Roman" w:eastAsia="Times New Roman" w:hAnsi="Times New Roman"/>
          <w:rtl w:val="0"/>
        </w:rPr>
        <w:t xml:space="preserve">2.1 Environmental policy flexibility</w:t>
      </w:r>
    </w:p>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Environmental policy has to strike a balance between stringency and flexibility. Stringent environmental policies often take a command and control approach, where firms are required to meet specific criteria such as defined contributions, reduction targets, or technology standards </w:t>
      </w:r>
      <w:hyperlink r:id="rId19">
        <w:r w:rsidDel="00000000" w:rsidR="00000000" w:rsidRPr="00000000">
          <w:rPr>
            <w:rFonts w:ascii="Times New Roman" w:cs="Times New Roman" w:eastAsia="Times New Roman" w:hAnsi="Times New Roman"/>
            <w:sz w:val="24"/>
            <w:szCs w:val="24"/>
            <w:vertAlign w:val="baseline"/>
            <w:rtl w:val="0"/>
          </w:rPr>
          <w:t xml:space="preserve">Barreiro-Hurle_Dessart_Rommel_Czajkowski_Espinosa-Goded_Rodriguez-Entrena_Thomas_Zagorska_2023_Pettersson_Söderholm_2014</w:t>
        </w:r>
      </w:hyperlink>
      <w:r w:rsidDel="00000000" w:rsidR="00000000" w:rsidRPr="00000000">
        <w:rPr>
          <w:rFonts w:ascii="Times New Roman" w:cs="Times New Roman" w:eastAsia="Times New Roman" w:hAnsi="Times New Roman"/>
          <w:sz w:val="24"/>
          <w:szCs w:val="24"/>
          <w:rtl w:val="0"/>
        </w:rPr>
        <w:t xml:space="preserve">. These types of regulatory measures reduce uncertainty in the achievement of environmental outcomes so long as enforcement is in place </w:t>
      </w:r>
      <w:hyperlink r:id="rId20">
        <w:r w:rsidDel="00000000" w:rsidR="00000000" w:rsidRPr="00000000">
          <w:rPr>
            <w:rFonts w:ascii="Times New Roman" w:cs="Times New Roman" w:eastAsia="Times New Roman" w:hAnsi="Times New Roman"/>
            <w:sz w:val="24"/>
            <w:szCs w:val="24"/>
            <w:vertAlign w:val="baseline"/>
            <w:rtl w:val="0"/>
          </w:rPr>
          <w:t xml:space="preserve">Piñeiro_Arias_Dürr_Elverdin_Ibáñez_Kinengyere_Opazo_Owoo_Page_Prager_et al._2020</w:t>
        </w:r>
      </w:hyperlink>
      <w:r w:rsidDel="00000000" w:rsidR="00000000" w:rsidRPr="00000000">
        <w:rPr>
          <w:rFonts w:ascii="Times New Roman" w:cs="Times New Roman" w:eastAsia="Times New Roman" w:hAnsi="Times New Roman"/>
          <w:sz w:val="24"/>
          <w:szCs w:val="24"/>
          <w:rtl w:val="0"/>
        </w:rPr>
        <w:t xml:space="preserve">. However, stringency has its drawbacks. The increase of regulation may reduce competitiveness of firms </w:t>
      </w:r>
      <w:hyperlink r:id="rId21">
        <w:r w:rsidDel="00000000" w:rsidR="00000000" w:rsidRPr="00000000">
          <w:rPr>
            <w:rFonts w:ascii="Times New Roman" w:cs="Times New Roman" w:eastAsia="Times New Roman" w:hAnsi="Times New Roman"/>
            <w:sz w:val="24"/>
            <w:szCs w:val="24"/>
            <w:vertAlign w:val="baseline"/>
            <w:rtl w:val="0"/>
          </w:rPr>
          <w:t xml:space="preserve">Brännlund_Lundgren_2009</w:t>
        </w:r>
      </w:hyperlink>
      <w:r w:rsidDel="00000000" w:rsidR="00000000" w:rsidRPr="00000000">
        <w:rPr>
          <w:rFonts w:ascii="Times New Roman" w:cs="Times New Roman" w:eastAsia="Times New Roman" w:hAnsi="Times New Roman"/>
          <w:sz w:val="24"/>
          <w:szCs w:val="24"/>
          <w:rtl w:val="0"/>
        </w:rPr>
        <w:t xml:space="preserve">, counteract voluntary behavior </w:t>
      </w:r>
      <w:hyperlink r:id="rId22">
        <w:r w:rsidDel="00000000" w:rsidR="00000000" w:rsidRPr="00000000">
          <w:rPr>
            <w:rFonts w:ascii="Times New Roman" w:cs="Times New Roman" w:eastAsia="Times New Roman" w:hAnsi="Times New Roman"/>
            <w:sz w:val="24"/>
            <w:szCs w:val="24"/>
            <w:vertAlign w:val="baseline"/>
            <w:rtl w:val="0"/>
          </w:rPr>
          <w:t xml:space="preserve">Barreiro-Hurle_Dessart_Rommel_Czajkowski_Espinosa-Goded_Rodriguez-Entrena_Thomas_Zagorska_2023</w:t>
        </w:r>
      </w:hyperlink>
      <w:r w:rsidDel="00000000" w:rsidR="00000000" w:rsidRPr="00000000">
        <w:rPr>
          <w:rFonts w:ascii="Times New Roman" w:cs="Times New Roman" w:eastAsia="Times New Roman" w:hAnsi="Times New Roman"/>
          <w:sz w:val="24"/>
          <w:szCs w:val="24"/>
          <w:rtl w:val="0"/>
        </w:rPr>
        <w:t xml:space="preserve">, prompt relocation to an area with more lenient policies </w:t>
      </w:r>
      <w:hyperlink r:id="rId23">
        <w:r w:rsidDel="00000000" w:rsidR="00000000" w:rsidRPr="00000000">
          <w:rPr>
            <w:rFonts w:ascii="Times New Roman" w:cs="Times New Roman" w:eastAsia="Times New Roman" w:hAnsi="Times New Roman"/>
            <w:sz w:val="24"/>
            <w:szCs w:val="24"/>
            <w:vertAlign w:val="baseline"/>
            <w:rtl w:val="0"/>
          </w:rPr>
          <w:t xml:space="preserve">Cole_2004</w:t>
        </w:r>
      </w:hyperlink>
      <w:r w:rsidDel="00000000" w:rsidR="00000000" w:rsidRPr="00000000">
        <w:rPr>
          <w:rFonts w:ascii="Times New Roman" w:cs="Times New Roman" w:eastAsia="Times New Roman" w:hAnsi="Times New Roman"/>
          <w:sz w:val="24"/>
          <w:szCs w:val="24"/>
          <w:rtl w:val="0"/>
        </w:rPr>
        <w:t xml:space="preserve">, or generate resistance/creative compliance </w:t>
      </w:r>
      <w:hyperlink r:id="rId24">
        <w:r w:rsidDel="00000000" w:rsidR="00000000" w:rsidRPr="00000000">
          <w:rPr>
            <w:rFonts w:ascii="Times New Roman" w:cs="Times New Roman" w:eastAsia="Times New Roman" w:hAnsi="Times New Roman"/>
            <w:sz w:val="24"/>
            <w:szCs w:val="24"/>
            <w:vertAlign w:val="baseline"/>
            <w:rtl w:val="0"/>
          </w:rPr>
          <w:t xml:space="preserve">Bartel_Barclay_2011</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environmental policies, on the other hand, tend to use tools that incentivize firms to improve environmental outcomes </w:t>
      </w:r>
      <w:hyperlink r:id="rId25">
        <w:r w:rsidDel="00000000" w:rsidR="00000000" w:rsidRPr="00000000">
          <w:rPr>
            <w:rFonts w:ascii="Times New Roman" w:cs="Times New Roman" w:eastAsia="Times New Roman" w:hAnsi="Times New Roman"/>
            <w:sz w:val="24"/>
            <w:szCs w:val="24"/>
            <w:vertAlign w:val="baseline"/>
            <w:rtl w:val="0"/>
          </w:rPr>
          <w:t xml:space="preserve">Gunningham_Sinclair_1999_Piñeiro_Arias_Dürr_Elverdin_Ibáñez_Kinengyere_Opazo_Owoo_Page_Prager_et al._2020</w:t>
        </w:r>
      </w:hyperlink>
      <w:r w:rsidDel="00000000" w:rsidR="00000000" w:rsidRPr="00000000">
        <w:rPr>
          <w:rFonts w:ascii="Times New Roman" w:cs="Times New Roman" w:eastAsia="Times New Roman" w:hAnsi="Times New Roman"/>
          <w:sz w:val="24"/>
          <w:szCs w:val="24"/>
          <w:rtl w:val="0"/>
        </w:rPr>
        <w:t xml:space="preserve">, and at times permit exceptions/derogations if the regulation is overly burdensome </w:t>
      </w:r>
      <w:hyperlink r:id="rId26">
        <w:r w:rsidDel="00000000" w:rsidR="00000000" w:rsidRPr="00000000">
          <w:rPr>
            <w:rFonts w:ascii="Times New Roman" w:cs="Times New Roman" w:eastAsia="Times New Roman" w:hAnsi="Times New Roman"/>
            <w:sz w:val="24"/>
            <w:szCs w:val="24"/>
            <w:vertAlign w:val="baseline"/>
            <w:rtl w:val="0"/>
          </w:rPr>
          <w:t xml:space="preserve">Romero-Castro_López-Cabarcos_Piñeiro-Chousa_2022</w:t>
        </w:r>
      </w:hyperlink>
      <w:r w:rsidDel="00000000" w:rsidR="00000000" w:rsidRPr="00000000">
        <w:rPr>
          <w:rFonts w:ascii="Times New Roman" w:cs="Times New Roman" w:eastAsia="Times New Roman" w:hAnsi="Times New Roman"/>
          <w:sz w:val="24"/>
          <w:szCs w:val="24"/>
          <w:rtl w:val="0"/>
        </w:rPr>
        <w:t xml:space="preserve">. The benefits of flexible policies include reduced tension between firms and government, as well as room for innovation to ultimately improve environmental outcomes </w:t>
      </w:r>
      <w:hyperlink r:id="rId27">
        <w:r w:rsidDel="00000000" w:rsidR="00000000" w:rsidRPr="00000000">
          <w:rPr>
            <w:rFonts w:ascii="Times New Roman" w:cs="Times New Roman" w:eastAsia="Times New Roman" w:hAnsi="Times New Roman"/>
            <w:sz w:val="24"/>
            <w:szCs w:val="24"/>
            <w:vertAlign w:val="baseline"/>
            <w:rtl w:val="0"/>
          </w:rPr>
          <w:t xml:space="preserve">Ambec_Cohen_Elgie_Lanoie_2013</w:t>
        </w:r>
      </w:hyperlink>
      <w:r w:rsidDel="00000000" w:rsidR="00000000" w:rsidRPr="00000000">
        <w:rPr>
          <w:rFonts w:ascii="Times New Roman" w:cs="Times New Roman" w:eastAsia="Times New Roman" w:hAnsi="Times New Roman"/>
          <w:sz w:val="24"/>
          <w:szCs w:val="24"/>
          <w:rtl w:val="0"/>
        </w:rPr>
        <w:t xml:space="preserve">. The drawback of flexible policy tools, however, is that adherence needs to be monitored to avoid free-riding </w:t>
      </w:r>
      <w:hyperlink r:id="rId28">
        <w:r w:rsidDel="00000000" w:rsidR="00000000" w:rsidRPr="00000000">
          <w:rPr>
            <w:rFonts w:ascii="Times New Roman" w:cs="Times New Roman" w:eastAsia="Times New Roman" w:hAnsi="Times New Roman"/>
            <w:sz w:val="24"/>
            <w:szCs w:val="24"/>
            <w:vertAlign w:val="baseline"/>
            <w:rtl w:val="0"/>
          </w:rPr>
          <w:t xml:space="preserve">Prakash_Potoski_2007</w:t>
        </w:r>
      </w:hyperlink>
      <w:r w:rsidDel="00000000" w:rsidR="00000000" w:rsidRPr="00000000">
        <w:rPr>
          <w:rFonts w:ascii="Times New Roman" w:cs="Times New Roman" w:eastAsia="Times New Roman" w:hAnsi="Times New Roman"/>
          <w:sz w:val="24"/>
          <w:szCs w:val="24"/>
          <w:rtl w:val="0"/>
        </w:rPr>
        <w:t xml:space="preserve">, and because participation may be low, there is less certainty around the environmental benefits </w:t>
      </w:r>
      <w:hyperlink r:id="rId29">
        <w:r w:rsidDel="00000000" w:rsidR="00000000" w:rsidRPr="00000000">
          <w:rPr>
            <w:rFonts w:ascii="Times New Roman" w:cs="Times New Roman" w:eastAsia="Times New Roman" w:hAnsi="Times New Roman"/>
            <w:sz w:val="24"/>
            <w:szCs w:val="24"/>
            <w:vertAlign w:val="baseline"/>
            <w:rtl w:val="0"/>
          </w:rPr>
          <w:t xml:space="preserve">Stuart_Benveniste_Harris_2014</w:t>
        </w:r>
      </w:hyperlink>
      <w:r w:rsidDel="00000000" w:rsidR="00000000" w:rsidRPr="00000000">
        <w:rPr>
          <w:rFonts w:ascii="Times New Roman" w:cs="Times New Roman" w:eastAsia="Times New Roman" w:hAnsi="Times New Roman"/>
          <w:sz w:val="24"/>
          <w:szCs w:val="24"/>
          <w:rtl w:val="0"/>
        </w:rPr>
        <w:t xml:space="preserve">. Furthermore, vague criteria for exceptions/derogations like the use of "best available technology" gives wide latitude to firms' discretion </w:t>
      </w:r>
      <w:hyperlink r:id="rId30">
        <w:r w:rsidDel="00000000" w:rsidR="00000000" w:rsidRPr="00000000">
          <w:rPr>
            <w:rFonts w:ascii="Times New Roman" w:cs="Times New Roman" w:eastAsia="Times New Roman" w:hAnsi="Times New Roman"/>
            <w:sz w:val="24"/>
            <w:szCs w:val="24"/>
            <w:vertAlign w:val="baseline"/>
            <w:rtl w:val="0"/>
          </w:rPr>
          <w:t xml:space="preserve">Romero-Castro_López-Cabarcos_Piñeiro-Chousa_2022</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paper we are interested in environmental policy that provides </w:t>
      </w:r>
      <w:commentRangeStart w:id="3"/>
      <w:r w:rsidDel="00000000" w:rsidR="00000000" w:rsidRPr="00000000">
        <w:rPr>
          <w:rFonts w:ascii="Times New Roman" w:cs="Times New Roman" w:eastAsia="Times New Roman" w:hAnsi="Times New Roman"/>
          <w:sz w:val="24"/>
          <w:szCs w:val="24"/>
          <w:rtl w:val="0"/>
        </w:rPr>
        <w:t xml:space="preserve">flexibility</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in the form of exceptions. For example, the European Union industrial emissions directive mandates firms to reduce emissions using "best available technology," but grants derogations if the costs of complying (as calculated by the firm) are too high </w:t>
      </w:r>
      <w:hyperlink r:id="rId31">
        <w:r w:rsidDel="00000000" w:rsidR="00000000" w:rsidRPr="00000000">
          <w:rPr>
            <w:rFonts w:ascii="Times New Roman" w:cs="Times New Roman" w:eastAsia="Times New Roman" w:hAnsi="Times New Roman"/>
            <w:sz w:val="24"/>
            <w:szCs w:val="24"/>
            <w:vertAlign w:val="baseline"/>
            <w:rtl w:val="0"/>
          </w:rPr>
          <w:t xml:space="preserve">Romero-Castro_López-Cabarcos_Piñeiro-Chousa_2022_Söderholm_Bergquist_Pettersson_Söderholm_2022</w:t>
        </w:r>
      </w:hyperlink>
      <w:commentRangeStart w:id="4"/>
      <w:r w:rsidDel="00000000" w:rsidR="00000000" w:rsidRPr="00000000">
        <w:rPr>
          <w:rFonts w:ascii="Times New Roman" w:cs="Times New Roman" w:eastAsia="Times New Roman" w:hAnsi="Times New Roman"/>
          <w:sz w:val="24"/>
          <w:szCs w:val="24"/>
          <w:rtl w:val="0"/>
        </w:rPr>
        <w:t xml:space="preserve">.</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 As a second example, regulation of </w:t>
      </w:r>
      <w:commentRangeStart w:id="5"/>
      <w:r w:rsidDel="00000000" w:rsidR="00000000" w:rsidRPr="00000000">
        <w:rPr>
          <w:rFonts w:ascii="Times New Roman" w:cs="Times New Roman" w:eastAsia="Times New Roman" w:hAnsi="Times New Roman"/>
          <w:sz w:val="24"/>
          <w:szCs w:val="24"/>
          <w:rtl w:val="0"/>
        </w:rPr>
        <w:t xml:space="preserve">manure discharge</w:t>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 by animal feeding operations in the US has several exceptions to regulation based on nutrient management plans </w:t>
      </w:r>
      <w:hyperlink r:id="rId32">
        <w:r w:rsidDel="00000000" w:rsidR="00000000" w:rsidRPr="00000000">
          <w:rPr>
            <w:rFonts w:ascii="Times New Roman" w:cs="Times New Roman" w:eastAsia="Times New Roman" w:hAnsi="Times New Roman"/>
            <w:sz w:val="24"/>
            <w:szCs w:val="24"/>
            <w:vertAlign w:val="baseline"/>
            <w:rtl w:val="0"/>
          </w:rPr>
          <w:t xml:space="preserve">Rosov_Mallin_Cahoon_2020</w:t>
        </w:r>
      </w:hyperlink>
      <w:r w:rsidDel="00000000" w:rsidR="00000000" w:rsidRPr="00000000">
        <w:rPr>
          <w:rFonts w:ascii="Times New Roman" w:cs="Times New Roman" w:eastAsia="Times New Roman" w:hAnsi="Times New Roman"/>
          <w:sz w:val="24"/>
          <w:szCs w:val="24"/>
          <w:rtl w:val="0"/>
        </w:rPr>
        <w:t xml:space="preserve">. Who takes advantage of these exceptions is an open question, prompting our research question: Do flexible environmental standards spare firms from undue burden or enable free-riders?</w:t>
      </w:r>
      <w:r w:rsidDel="00000000" w:rsidR="00000000" w:rsidRPr="00000000">
        <w:rPr>
          <w:rtl w:val="0"/>
        </w:rPr>
      </w:r>
    </w:p>
    <w:p w:rsidR="00000000" w:rsidDel="00000000" w:rsidP="00000000" w:rsidRDefault="00000000" w:rsidRPr="00000000" w14:paraId="00000036">
      <w:pPr>
        <w:pStyle w:val="Heading3"/>
        <w:rPr>
          <w:rFonts w:ascii="Times New Roman" w:cs="Times New Roman" w:eastAsia="Times New Roman" w:hAnsi="Times New Roman"/>
        </w:rPr>
      </w:pPr>
      <w:bookmarkStart w:colFirst="0" w:colLast="0" w:name="_tn8hokqoemkc" w:id="5"/>
      <w:bookmarkEnd w:id="5"/>
      <w:r w:rsidDel="00000000" w:rsidR="00000000" w:rsidRPr="00000000">
        <w:rPr>
          <w:rFonts w:ascii="Times New Roman" w:cs="Times New Roman" w:eastAsia="Times New Roman" w:hAnsi="Times New Roman"/>
          <w:rtl w:val="0"/>
        </w:rPr>
        <w:t xml:space="preserve">2.2 Organic agricultural standards</w:t>
      </w:r>
    </w:p>
    <w:p w:rsidR="00000000" w:rsidDel="00000000" w:rsidP="00000000" w:rsidRDefault="00000000" w:rsidRPr="00000000" w14:paraId="00000037">
      <w:pPr>
        <w:pStyle w:val="Heading4"/>
        <w:rPr>
          <w:rFonts w:ascii="Times New Roman" w:cs="Times New Roman" w:eastAsia="Times New Roman" w:hAnsi="Times New Roman"/>
          <w:sz w:val="28"/>
          <w:szCs w:val="28"/>
        </w:rPr>
      </w:pPr>
      <w:bookmarkStart w:colFirst="0" w:colLast="0" w:name="_h4cz1dftx374" w:id="6"/>
      <w:bookmarkEnd w:id="6"/>
      <w:r w:rsidDel="00000000" w:rsidR="00000000" w:rsidRPr="00000000">
        <w:rPr>
          <w:rFonts w:ascii="Times New Roman" w:cs="Times New Roman" w:eastAsia="Times New Roman" w:hAnsi="Times New Roman"/>
          <w:sz w:val="28"/>
          <w:szCs w:val="28"/>
          <w:rtl w:val="0"/>
        </w:rPr>
        <w:t xml:space="preserve">2.2.1 Flexibility of organic certification</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 certification is a voluntary program that agricultural producers and food processors opt into, which requires a range of practices and sourcing rules that reduce the environmental impact of agricultural production. Participants are then monitored according to the certification standards, making these high-cost clubs that use stringent voluntary standards to gain participants premiums </w:t>
      </w:r>
      <w:hyperlink r:id="rId33">
        <w:r w:rsidDel="00000000" w:rsidR="00000000" w:rsidRPr="00000000">
          <w:rPr>
            <w:rFonts w:ascii="Times New Roman" w:cs="Times New Roman" w:eastAsia="Times New Roman" w:hAnsi="Times New Roman"/>
            <w:sz w:val="24"/>
            <w:szCs w:val="24"/>
            <w:vertAlign w:val="baseline"/>
            <w:rtl w:val="0"/>
          </w:rPr>
          <w:t xml:space="preserve">Prakash_Potoski_2007</w:t>
        </w:r>
      </w:hyperlink>
      <w:r w:rsidDel="00000000" w:rsidR="00000000" w:rsidRPr="00000000">
        <w:rPr>
          <w:rFonts w:ascii="Times New Roman" w:cs="Times New Roman" w:eastAsia="Times New Roman" w:hAnsi="Times New Roman"/>
          <w:sz w:val="24"/>
          <w:szCs w:val="24"/>
          <w:rtl w:val="0"/>
        </w:rPr>
        <w:t xml:space="preserve">. However, the certification standards are generally accompanied by listed exceptions for using non-organic products. These exceptions are proposed to reduce excessive burdens and barriers facing growers and processors </w:t>
      </w:r>
      <w:hyperlink r:id="rId34">
        <w:r w:rsidDel="00000000" w:rsidR="00000000" w:rsidRPr="00000000">
          <w:rPr>
            <w:rFonts w:ascii="Times New Roman" w:cs="Times New Roman" w:eastAsia="Times New Roman" w:hAnsi="Times New Roman"/>
            <w:sz w:val="24"/>
            <w:szCs w:val="24"/>
            <w:vertAlign w:val="baseline"/>
            <w:rtl w:val="0"/>
          </w:rPr>
          <w:t xml:space="preserve">National Organic Standards Board_</w:t>
        </w:r>
      </w:hyperlink>
      <w:commentRangeStart w:id="6"/>
      <w:hyperlink r:id="rId35">
        <w:r w:rsidDel="00000000" w:rsidR="00000000" w:rsidRPr="00000000">
          <w:rPr>
            <w:rFonts w:ascii="Times New Roman" w:cs="Times New Roman" w:eastAsia="Times New Roman" w:hAnsi="Times New Roman"/>
            <w:sz w:val="24"/>
            <w:szCs w:val="24"/>
            <w:vertAlign w:val="baseline"/>
            <w:rtl w:val="0"/>
          </w:rPr>
          <w:t xml:space="preserve">2006</w:t>
        </w:r>
      </w:hyperlink>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 in an otherwise stringent and often challenging certification process </w:t>
      </w:r>
      <w:hyperlink r:id="rId36">
        <w:r w:rsidDel="00000000" w:rsidR="00000000" w:rsidRPr="00000000">
          <w:rPr>
            <w:rFonts w:ascii="Times New Roman" w:cs="Times New Roman" w:eastAsia="Times New Roman" w:hAnsi="Times New Roman"/>
            <w:sz w:val="24"/>
            <w:szCs w:val="24"/>
            <w:vertAlign w:val="baseline"/>
            <w:rtl w:val="0"/>
          </w:rPr>
          <w:t xml:space="preserve">Carter_Adams_Wright_Scott_2022_Flaten_Lien_Koesling_Løes_2010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such exception in the organic label is related to seed sourcing. Organic standards generally require organic growers to use organic seed. However, so-called "loopholes" are often put into place, where organic growers are allowed to use conventional seed if organic seed is not commercially available </w:t>
      </w:r>
      <w:hyperlink r:id="rId37">
        <w:r w:rsidDel="00000000" w:rsidR="00000000" w:rsidRPr="00000000">
          <w:rPr>
            <w:rFonts w:ascii="Times New Roman" w:cs="Times New Roman" w:eastAsia="Times New Roman" w:hAnsi="Times New Roman"/>
            <w:sz w:val="24"/>
            <w:szCs w:val="24"/>
            <w:vertAlign w:val="baseline"/>
            <w:rtl w:val="0"/>
          </w:rPr>
          <w:t xml:space="preserve">Endres_Andrade Laborde_Bohn_Formiga_Goldstein_Marriott_Ugarte_Wander_2022_Liveseed_2021_Padel_Orsini_Solfanelli_Zanoli_2021</w:t>
        </w:r>
      </w:hyperlink>
      <w:r w:rsidDel="00000000" w:rsidR="00000000" w:rsidRPr="00000000">
        <w:rPr>
          <w:rFonts w:ascii="Times New Roman" w:cs="Times New Roman" w:eastAsia="Times New Roman" w:hAnsi="Times New Roman"/>
          <w:sz w:val="24"/>
          <w:szCs w:val="24"/>
          <w:rtl w:val="0"/>
        </w:rPr>
        <w:t xml:space="preserve">. This kind of exception is common in organic standards around the world, for example the United States' National Organic Program</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United Kingdom's Soil Association and the European Union's Organic Standard</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and the East Africa Organic Standard</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United States, "the goal [of the exception] is to promote the continued growth and improvement in organic seed production and subsequent usage by organic growers, without hurting or putting undo [sic] burdens on growers" </w:t>
      </w:r>
      <w:hyperlink r:id="rId38">
        <w:r w:rsidDel="00000000" w:rsidR="00000000" w:rsidRPr="00000000">
          <w:rPr>
            <w:rFonts w:ascii="Times New Roman" w:cs="Times New Roman" w:eastAsia="Times New Roman" w:hAnsi="Times New Roman"/>
            <w:sz w:val="24"/>
            <w:szCs w:val="24"/>
            <w:vertAlign w:val="baseline"/>
            <w:rtl w:val="0"/>
          </w:rPr>
          <w:t xml:space="preserve">National Organic Standards Board_2008</w:t>
        </w:r>
      </w:hyperlink>
      <w:commentRangeStart w:id="7"/>
      <w:r w:rsidDel="00000000" w:rsidR="00000000" w:rsidRPr="00000000">
        <w:rPr>
          <w:rFonts w:ascii="Times New Roman" w:cs="Times New Roman" w:eastAsia="Times New Roman" w:hAnsi="Times New Roman"/>
          <w:sz w:val="24"/>
          <w:szCs w:val="24"/>
          <w:rtl w:val="0"/>
        </w:rPr>
        <w:t xml:space="preserve">.</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 The intention is that this exception can excuse farmers who experience challenges, particularly as the organic seed market develops </w:t>
      </w:r>
      <w:hyperlink r:id="rId39">
        <w:r w:rsidDel="00000000" w:rsidR="00000000" w:rsidRPr="00000000">
          <w:rPr>
            <w:rFonts w:ascii="Times New Roman" w:cs="Times New Roman" w:eastAsia="Times New Roman" w:hAnsi="Times New Roman"/>
            <w:sz w:val="24"/>
            <w:szCs w:val="24"/>
            <w:vertAlign w:val="baseline"/>
            <w:rtl w:val="0"/>
          </w:rPr>
          <w:t xml:space="preserve">Dillon_Hubbard_2011_Hubbard_Zystro_2016</w:t>
        </w:r>
      </w:hyperlink>
      <w:r w:rsidDel="00000000" w:rsidR="00000000" w:rsidRPr="00000000">
        <w:rPr>
          <w:rFonts w:ascii="Times New Roman" w:cs="Times New Roman" w:eastAsia="Times New Roman" w:hAnsi="Times New Roman"/>
          <w:sz w:val="24"/>
          <w:szCs w:val="24"/>
          <w:rtl w:val="0"/>
        </w:rPr>
        <w:t xml:space="preserve">. While there is evidence that the seed system is growing through increased public research spending and the development of new organic varieties </w:t>
      </w:r>
      <w:hyperlink r:id="rId40">
        <w:r w:rsidDel="00000000" w:rsidR="00000000" w:rsidRPr="00000000">
          <w:rPr>
            <w:rFonts w:ascii="Times New Roman" w:cs="Times New Roman" w:eastAsia="Times New Roman" w:hAnsi="Times New Roman"/>
            <w:sz w:val="24"/>
            <w:szCs w:val="24"/>
            <w:vertAlign w:val="baseline"/>
            <w:rtl w:val="0"/>
          </w:rPr>
          <w:t xml:space="preserve">Hubbard_Zystro_Wood_2022</w:t>
        </w:r>
      </w:hyperlink>
      <w:r w:rsidDel="00000000" w:rsidR="00000000" w:rsidRPr="00000000">
        <w:rPr>
          <w:rFonts w:ascii="Times New Roman" w:cs="Times New Roman" w:eastAsia="Times New Roman" w:hAnsi="Times New Roman"/>
          <w:sz w:val="24"/>
          <w:szCs w:val="24"/>
          <w:rtl w:val="0"/>
        </w:rPr>
        <w:t xml:space="preserve">, there </w:t>
      </w:r>
      <w:r w:rsidDel="00000000" w:rsidR="00000000" w:rsidRPr="00000000">
        <w:rPr>
          <w:rFonts w:ascii="Times New Roman" w:cs="Times New Roman" w:eastAsia="Times New Roman" w:hAnsi="Times New Roman"/>
          <w:sz w:val="24"/>
          <w:szCs w:val="24"/>
          <w:rtl w:val="0"/>
        </w:rPr>
        <w:t xml:space="preserve">is still widespread uncertainty as to how the seed loophole is used by organic growers.</w:t>
      </w:r>
    </w:p>
    <w:p w:rsidR="00000000" w:rsidDel="00000000" w:rsidP="00000000" w:rsidRDefault="00000000" w:rsidRPr="00000000" w14:paraId="0000003D">
      <w:pPr>
        <w:pStyle w:val="Heading4"/>
        <w:rPr>
          <w:rFonts w:ascii="Times New Roman" w:cs="Times New Roman" w:eastAsia="Times New Roman" w:hAnsi="Times New Roman"/>
          <w:sz w:val="28"/>
          <w:szCs w:val="28"/>
        </w:rPr>
      </w:pPr>
      <w:bookmarkStart w:colFirst="0" w:colLast="0" w:name="_t56fzox5lnay" w:id="7"/>
      <w:bookmarkEnd w:id="7"/>
      <w:r w:rsidDel="00000000" w:rsidR="00000000" w:rsidRPr="00000000">
        <w:rPr>
          <w:rFonts w:ascii="Times New Roman" w:cs="Times New Roman" w:eastAsia="Times New Roman" w:hAnsi="Times New Roman"/>
          <w:sz w:val="28"/>
          <w:szCs w:val="28"/>
          <w:rtl w:val="0"/>
        </w:rPr>
        <w:t xml:space="preserve">2.2.2 Different models of organic farming</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an understanding of how organic growers are using the seed loophole, we first recognize that farmers (and firms generally) have different motivations </w:t>
      </w:r>
      <w:hyperlink r:id="rId41">
        <w:r w:rsidDel="00000000" w:rsidR="00000000" w:rsidRPr="00000000">
          <w:rPr>
            <w:rFonts w:ascii="Times New Roman" w:cs="Times New Roman" w:eastAsia="Times New Roman" w:hAnsi="Times New Roman"/>
            <w:sz w:val="24"/>
            <w:szCs w:val="24"/>
            <w:vertAlign w:val="baseline"/>
            <w:rtl w:val="0"/>
          </w:rPr>
          <w:t xml:space="preserve">Bartel_Barclay_2011</w:t>
        </w:r>
      </w:hyperlink>
      <w:r w:rsidDel="00000000" w:rsidR="00000000" w:rsidRPr="00000000">
        <w:rPr>
          <w:rFonts w:ascii="Times New Roman" w:cs="Times New Roman" w:eastAsia="Times New Roman" w:hAnsi="Times New Roman"/>
          <w:sz w:val="24"/>
          <w:szCs w:val="24"/>
          <w:rtl w:val="0"/>
        </w:rPr>
        <w:t xml:space="preserve">. Many policy design studies tend to treat firms as purely rational actors. As Prakash and Potoski describe it, "firms choose to join a voluntary club (and produce the environmental externalities it requires) in response to the costs of externality production and the returns from affiliating with the voluntary club brand" (2007, 287). But in reality, firm-level decisions are made by actors with varying risk tolerances, entrepreneurial initiatives, and environmental values and strategies</w:t>
      </w:r>
      <w:commentRangeStart w:id="8"/>
      <w:r w:rsidDel="00000000" w:rsidR="00000000" w:rsidRPr="00000000">
        <w:rPr>
          <w:rFonts w:ascii="Times New Roman" w:cs="Times New Roman" w:eastAsia="Times New Roman" w:hAnsi="Times New Roman"/>
          <w:sz w:val="24"/>
          <w:szCs w:val="24"/>
          <w:rtl w:val="0"/>
        </w:rPr>
        <w:t xml:space="preserve">.</w:t>
      </w: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rtl w:val="0"/>
        </w:rPr>
        <w:t xml:space="preserve"> This is especially true for agricultural settings, where securing economic returns exists on balance with other values and operational attributes </w:t>
      </w:r>
      <w:hyperlink r:id="rId42">
        <w:r w:rsidDel="00000000" w:rsidR="00000000" w:rsidRPr="00000000">
          <w:rPr>
            <w:rFonts w:ascii="Times New Roman" w:cs="Times New Roman" w:eastAsia="Times New Roman" w:hAnsi="Times New Roman"/>
            <w:sz w:val="24"/>
            <w:szCs w:val="24"/>
            <w:vertAlign w:val="baseline"/>
            <w:rtl w:val="0"/>
          </w:rPr>
          <w:t xml:space="preserve">Floress_García de Jalón_Church_Babin_Ulrich-Schad_Prokopy_2017_Prokopy_Floress_Arbuckle_Church_Eanes_Gao_Gramig_Ranjan_Singh_2019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color w:val="444746"/>
          <w:sz w:val="24"/>
          <w:szCs w:val="24"/>
          <w:highlight w:val="white"/>
        </w:rPr>
      </w:pPr>
      <w:r w:rsidDel="00000000" w:rsidR="00000000" w:rsidRPr="00000000">
        <w:rPr>
          <w:rFonts w:ascii="Times New Roman" w:cs="Times New Roman" w:eastAsia="Times New Roman" w:hAnsi="Times New Roman"/>
          <w:sz w:val="24"/>
          <w:szCs w:val="24"/>
          <w:rtl w:val="0"/>
        </w:rPr>
        <w:t xml:space="preserve">Farmers make decisions based on a gradient of values ranging from "farm-as-business" to "environmental stewardship," though the two are not mutually exclusive </w:t>
      </w:r>
      <w:hyperlink r:id="rId43">
        <w:r w:rsidDel="00000000" w:rsidR="00000000" w:rsidRPr="00000000">
          <w:rPr>
            <w:rFonts w:ascii="Times New Roman" w:cs="Times New Roman" w:eastAsia="Times New Roman" w:hAnsi="Times New Roman"/>
            <w:sz w:val="24"/>
            <w:szCs w:val="24"/>
            <w:vertAlign w:val="baseline"/>
            <w:rtl w:val="0"/>
          </w:rPr>
          <w:t xml:space="preserve">Daloğlu_Nassauer_Riolo_Scavia_2014_Thompson_Reimer_Prokopy_2015</w:t>
        </w:r>
      </w:hyperlink>
      <w:r w:rsidDel="00000000" w:rsidR="00000000" w:rsidRPr="00000000">
        <w:rPr>
          <w:rFonts w:ascii="Times New Roman" w:cs="Times New Roman" w:eastAsia="Times New Roman" w:hAnsi="Times New Roman"/>
          <w:sz w:val="24"/>
          <w:szCs w:val="24"/>
          <w:rtl w:val="0"/>
        </w:rPr>
        <w:t xml:space="preserve">. Additionally, operational attributes such as farm size can influence the willingness and ability to innovate. In some cases large operations may be the ones that have the resources to take on risk and experiment with new practices </w:t>
      </w:r>
      <w:hyperlink r:id="rId44">
        <w:r w:rsidDel="00000000" w:rsidR="00000000" w:rsidRPr="00000000">
          <w:rPr>
            <w:rFonts w:ascii="Times New Roman" w:cs="Times New Roman" w:eastAsia="Times New Roman" w:hAnsi="Times New Roman"/>
            <w:sz w:val="24"/>
            <w:szCs w:val="24"/>
            <w:vertAlign w:val="baseline"/>
            <w:rtl w:val="0"/>
          </w:rPr>
          <w:t xml:space="preserve">Daloğlu_Nassauer_Riolo_Scavia_2014_Feder_Umali_1993</w:t>
        </w:r>
      </w:hyperlink>
      <w:r w:rsidDel="00000000" w:rsidR="00000000" w:rsidRPr="00000000">
        <w:rPr>
          <w:rFonts w:ascii="Times New Roman" w:cs="Times New Roman" w:eastAsia="Times New Roman" w:hAnsi="Times New Roman"/>
          <w:sz w:val="24"/>
          <w:szCs w:val="24"/>
          <w:rtl w:val="0"/>
        </w:rPr>
        <w:t xml:space="preserve">, but in other cases it may hinder their willingness to try something new at a large scale, especially if there is no visible economic return </w:t>
      </w:r>
      <w:hyperlink r:id="rId45">
        <w:r w:rsidDel="00000000" w:rsidR="00000000" w:rsidRPr="00000000">
          <w:rPr>
            <w:rFonts w:ascii="Times New Roman" w:cs="Times New Roman" w:eastAsia="Times New Roman" w:hAnsi="Times New Roman"/>
            <w:sz w:val="24"/>
            <w:szCs w:val="24"/>
            <w:vertAlign w:val="baseline"/>
            <w:rtl w:val="0"/>
          </w:rPr>
          <w:t xml:space="preserve">Buttel_Jr_Larson_1990_Napier_Robinson_Tucker_2000</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color w:val="444746"/>
          <w:sz w:val="24"/>
          <w:szCs w:val="24"/>
          <w:highlight w:val="white"/>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Variation in grower motivations is especially prominent in organic agriculture. Organic farming originated as a grassroots movement, centered around holistic environmental and social farming principles </w:t>
      </w:r>
      <w:hyperlink r:id="rId46">
        <w:r w:rsidDel="00000000" w:rsidR="00000000" w:rsidRPr="00000000">
          <w:rPr>
            <w:rFonts w:ascii="Times New Roman" w:cs="Times New Roman" w:eastAsia="Times New Roman" w:hAnsi="Times New Roman"/>
            <w:sz w:val="24"/>
            <w:szCs w:val="24"/>
            <w:vertAlign w:val="baseline"/>
            <w:rtl w:val="0"/>
          </w:rPr>
          <w:t xml:space="preserve">Youngberg_DeMuth_2013</w:t>
        </w:r>
      </w:hyperlink>
      <w:r w:rsidDel="00000000" w:rsidR="00000000" w:rsidRPr="00000000">
        <w:rPr>
          <w:rFonts w:ascii="Times New Roman" w:cs="Times New Roman" w:eastAsia="Times New Roman" w:hAnsi="Times New Roman"/>
          <w:sz w:val="24"/>
          <w:szCs w:val="24"/>
          <w:rtl w:val="0"/>
        </w:rPr>
        <w:t xml:space="preserve">. This vision of sustainability emphasizes soil health, biodiversity, social justice, and community food systems as a contrast to the industrialized model of conventional farms </w:t>
      </w:r>
      <w:hyperlink r:id="rId47">
        <w:r w:rsidDel="00000000" w:rsidR="00000000" w:rsidRPr="00000000">
          <w:rPr>
            <w:rFonts w:ascii="Times New Roman" w:cs="Times New Roman" w:eastAsia="Times New Roman" w:hAnsi="Times New Roman"/>
            <w:sz w:val="24"/>
            <w:szCs w:val="24"/>
            <w:vertAlign w:val="baseline"/>
            <w:rtl w:val="0"/>
          </w:rPr>
          <w:t xml:space="preserve">Coleman_2001_Youngberg_DeMuth_2013</w:t>
        </w:r>
      </w:hyperlink>
      <w:r w:rsidDel="00000000" w:rsidR="00000000" w:rsidRPr="00000000">
        <w:rPr>
          <w:rFonts w:ascii="Times New Roman" w:cs="Times New Roman" w:eastAsia="Times New Roman" w:hAnsi="Times New Roman"/>
          <w:sz w:val="24"/>
          <w:szCs w:val="24"/>
          <w:rtl w:val="0"/>
        </w:rPr>
        <w:t xml:space="preserve">. But when codified into practice as certified organic standards, a model of "conventionalized" organic emerged</w:t>
      </w:r>
      <w:commentRangeStart w:id="9"/>
      <w:r w:rsidDel="00000000" w:rsidR="00000000" w:rsidRPr="00000000">
        <w:rPr>
          <w:rFonts w:ascii="Times New Roman" w:cs="Times New Roman" w:eastAsia="Times New Roman" w:hAnsi="Times New Roman"/>
          <w:sz w:val="24"/>
          <w:szCs w:val="24"/>
          <w:rtl w:val="0"/>
        </w:rPr>
        <w:t xml:space="preserve">.</w:t>
      </w:r>
      <w:commentRangeEnd w:id="9"/>
      <w:r w:rsidDel="00000000" w:rsidR="00000000" w:rsidRPr="00000000">
        <w:commentReference w:id="9"/>
      </w:r>
      <w:r w:rsidDel="00000000" w:rsidR="00000000" w:rsidRPr="00000000">
        <w:rPr>
          <w:rFonts w:ascii="Times New Roman" w:cs="Times New Roman" w:eastAsia="Times New Roman" w:hAnsi="Times New Roman"/>
          <w:sz w:val="24"/>
          <w:szCs w:val="24"/>
          <w:rtl w:val="0"/>
        </w:rPr>
        <w:t xml:space="preserve"> In this conventionalization, growers participate in organic practices (as defined by the standard) but not organic principles (as defined by the movement's broader social-environmental ethos), mainly to gain the price premium </w:t>
      </w:r>
      <w:hyperlink r:id="rId48">
        <w:r w:rsidDel="00000000" w:rsidR="00000000" w:rsidRPr="00000000">
          <w:rPr>
            <w:rFonts w:ascii="Times New Roman" w:cs="Times New Roman" w:eastAsia="Times New Roman" w:hAnsi="Times New Roman"/>
            <w:sz w:val="24"/>
            <w:szCs w:val="24"/>
            <w:vertAlign w:val="baseline"/>
            <w:rtl w:val="0"/>
          </w:rPr>
          <w:t xml:space="preserve">Darnhofer_Lindenthal_Bartel-Kratochvil_Zollitsch_2010_Guthman_2014</w:t>
        </w:r>
      </w:hyperlink>
      <w:commentRangeStart w:id="10"/>
      <w:r w:rsidDel="00000000" w:rsidR="00000000" w:rsidRPr="00000000">
        <w:rPr>
          <w:rFonts w:ascii="Times New Roman" w:cs="Times New Roman" w:eastAsia="Times New Roman" w:hAnsi="Times New Roman"/>
          <w:sz w:val="24"/>
          <w:szCs w:val="24"/>
          <w:rtl w:val="0"/>
        </w:rPr>
        <w:t xml:space="preserve">.</w:t>
      </w:r>
      <w:commentRangeEnd w:id="10"/>
      <w:r w:rsidDel="00000000" w:rsidR="00000000" w:rsidRPr="00000000">
        <w:commentReference w:id="10"/>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division between principled and practical organic farmers has created tension around the identity of organic farming </w:t>
      </w:r>
      <w:hyperlink r:id="rId49">
        <w:r w:rsidDel="00000000" w:rsidR="00000000" w:rsidRPr="00000000">
          <w:rPr>
            <w:rFonts w:ascii="Times New Roman" w:cs="Times New Roman" w:eastAsia="Times New Roman" w:hAnsi="Times New Roman"/>
            <w:sz w:val="24"/>
            <w:szCs w:val="24"/>
            <w:vertAlign w:val="baseline"/>
            <w:rtl w:val="0"/>
          </w:rPr>
          <w:t xml:space="preserve">Coleman_2001_von Sehlen_2007</w:t>
        </w:r>
      </w:hyperlink>
      <w:r w:rsidDel="00000000" w:rsidR="00000000" w:rsidRPr="00000000">
        <w:rPr>
          <w:rFonts w:ascii="Times New Roman" w:cs="Times New Roman" w:eastAsia="Times New Roman" w:hAnsi="Times New Roman"/>
          <w:sz w:val="24"/>
          <w:szCs w:val="24"/>
          <w:rtl w:val="0"/>
        </w:rPr>
        <w:t xml:space="preserve">. This tension has come to bear throughout the process of setting and revising the certification standards, such as the bi-annual discussion of the National Organic Standards Board, where exceptions are reviewed and updated </w:t>
      </w:r>
      <w:hyperlink r:id="rId50">
        <w:r w:rsidDel="00000000" w:rsidR="00000000" w:rsidRPr="00000000">
          <w:rPr>
            <w:rFonts w:ascii="Times New Roman" w:cs="Times New Roman" w:eastAsia="Times New Roman" w:hAnsi="Times New Roman"/>
            <w:sz w:val="24"/>
            <w:szCs w:val="24"/>
            <w:vertAlign w:val="baseline"/>
            <w:rtl w:val="0"/>
          </w:rPr>
          <w:t xml:space="preserve">DuPuis_Gillon_2009</w:t>
        </w:r>
      </w:hyperlink>
      <w:r w:rsidDel="00000000" w:rsidR="00000000" w:rsidRPr="00000000">
        <w:rPr>
          <w:rFonts w:ascii="Times New Roman" w:cs="Times New Roman" w:eastAsia="Times New Roman" w:hAnsi="Times New Roman"/>
          <w:sz w:val="24"/>
          <w:szCs w:val="24"/>
          <w:rtl w:val="0"/>
        </w:rPr>
        <w:t xml:space="preserve">. Indeed, these discussions reflect a wider conversation about the vision of what organic is and the appropriate path to achieve it. Though the division between principled and practical organic farmers does not fully represent the diversity of farmer profiles involved in organic </w:t>
      </w:r>
      <w:hyperlink r:id="rId51">
        <w:r w:rsidDel="00000000" w:rsidR="00000000" w:rsidRPr="00000000">
          <w:rPr>
            <w:rFonts w:ascii="Times New Roman" w:cs="Times New Roman" w:eastAsia="Times New Roman" w:hAnsi="Times New Roman"/>
            <w:sz w:val="24"/>
            <w:szCs w:val="24"/>
            <w:vertAlign w:val="baseline"/>
            <w:rtl w:val="0"/>
          </w:rPr>
          <w:t xml:space="preserve">Darnhofer_Lindenthal_Bartel-Kratochvil_Zollitsch_2010_Guthman_2014</w:t>
        </w:r>
      </w:hyperlink>
      <w:r w:rsidDel="00000000" w:rsidR="00000000" w:rsidRPr="00000000">
        <w:rPr>
          <w:rFonts w:ascii="Times New Roman" w:cs="Times New Roman" w:eastAsia="Times New Roman" w:hAnsi="Times New Roman"/>
          <w:sz w:val="24"/>
          <w:szCs w:val="24"/>
          <w:rtl w:val="0"/>
        </w:rPr>
        <w:t xml:space="preserve">, they help us typify different ways that growers may be engaging with the organic standard and its flexibility.</w:t>
      </w:r>
      <w:r w:rsidDel="00000000" w:rsidR="00000000" w:rsidRPr="00000000">
        <w:rPr>
          <w:rtl w:val="0"/>
        </w:rPr>
      </w:r>
    </w:p>
    <w:p w:rsidR="00000000" w:rsidDel="00000000" w:rsidP="00000000" w:rsidRDefault="00000000" w:rsidRPr="00000000" w14:paraId="00000045">
      <w:pPr>
        <w:pStyle w:val="Heading3"/>
        <w:rPr>
          <w:rFonts w:ascii="Times New Roman" w:cs="Times New Roman" w:eastAsia="Times New Roman" w:hAnsi="Times New Roman"/>
        </w:rPr>
      </w:pPr>
      <w:bookmarkStart w:colFirst="0" w:colLast="0" w:name="_hhxde7nnvm0k" w:id="8"/>
      <w:bookmarkEnd w:id="8"/>
      <w:r w:rsidDel="00000000" w:rsidR="00000000" w:rsidRPr="00000000">
        <w:rPr>
          <w:rFonts w:ascii="Times New Roman" w:cs="Times New Roman" w:eastAsia="Times New Roman" w:hAnsi="Times New Roman"/>
          <w:rtl w:val="0"/>
        </w:rPr>
        <w:t xml:space="preserve">2.3</w:t>
      </w:r>
      <w:r w:rsidDel="00000000" w:rsidR="00000000" w:rsidRPr="00000000">
        <w:rPr>
          <w:rFonts w:ascii="Times New Roman" w:cs="Times New Roman" w:eastAsia="Times New Roman" w:hAnsi="Times New Roman"/>
          <w:rtl w:val="0"/>
        </w:rPr>
        <w:t xml:space="preserve">. Hypotheses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the case of the organic agricultural standard to understand whether flexible environmental policies like the seed loophole spare farmers from undue burden or enable free-riders. We propose two sets of hypotheses.</w:t>
      </w:r>
    </w:p>
    <w:p w:rsidR="00000000" w:rsidDel="00000000" w:rsidP="00000000" w:rsidRDefault="00000000" w:rsidRPr="00000000" w14:paraId="0000004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set of hypotheses test whether environmental policy flexibility reduces excessive burden on firms. Organic farming is certainly challenging </w:t>
      </w:r>
      <w:hyperlink r:id="rId52">
        <w:r w:rsidDel="00000000" w:rsidR="00000000" w:rsidRPr="00000000">
          <w:rPr>
            <w:rFonts w:ascii="Times New Roman" w:cs="Times New Roman" w:eastAsia="Times New Roman" w:hAnsi="Times New Roman"/>
            <w:sz w:val="24"/>
            <w:szCs w:val="24"/>
            <w:vertAlign w:val="baseline"/>
            <w:rtl w:val="0"/>
          </w:rPr>
          <w:t xml:space="preserve">Sahm_Sanders_Nieberg_Behrens_Kuhnert_Strohm_Hamm_2013</w:t>
        </w:r>
      </w:hyperlink>
      <w:r w:rsidDel="00000000" w:rsidR="00000000" w:rsidRPr="00000000">
        <w:rPr>
          <w:rFonts w:ascii="Times New Roman" w:cs="Times New Roman" w:eastAsia="Times New Roman" w:hAnsi="Times New Roman"/>
          <w:sz w:val="24"/>
          <w:szCs w:val="24"/>
          <w:rtl w:val="0"/>
        </w:rPr>
        <w:t xml:space="preserve">, and barriers to complying with the standard are high, especially in the early phases of the certification's establishment. As such, we expect to see evidence that growers who are relying on the seed loophole (i.e. planting conventional seed) are those who experience the greatest barriers to accessing organic seed. Furthermore, we expect that as the organic seed market develops over time, fewer growers use conventional seed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H1a. Conventional seed use will be highest among growers experiencing greater organic seed sourcing barriers </w:t>
      </w:r>
    </w:p>
    <w:p w:rsidR="00000000" w:rsidDel="00000000" w:rsidP="00000000" w:rsidRDefault="00000000" w:rsidRPr="00000000" w14:paraId="0000004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H1b. Conventional seed use will decline over time</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set of hypotheses test whether environmental policy flexibility enables some farmers to take advantage of the policy's leniency </w:t>
      </w:r>
      <w:hyperlink r:id="rId53">
        <w:r w:rsidDel="00000000" w:rsidR="00000000" w:rsidRPr="00000000">
          <w:rPr>
            <w:rFonts w:ascii="Times New Roman" w:cs="Times New Roman" w:eastAsia="Times New Roman" w:hAnsi="Times New Roman"/>
            <w:sz w:val="24"/>
            <w:szCs w:val="24"/>
            <w:vertAlign w:val="baseline"/>
            <w:rtl w:val="0"/>
          </w:rPr>
          <w:t xml:space="preserve">Prakash_Potoski_2007_Stuart_Benveniste_Harris_2014</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 the case of the seed loophole, though guidance for growers and certifiers has tried to operationalize the commercial availability exception </w:t>
      </w:r>
      <w:hyperlink r:id="rId54">
        <w:r w:rsidDel="00000000" w:rsidR="00000000" w:rsidRPr="00000000">
          <w:rPr>
            <w:rFonts w:ascii="Times New Roman" w:cs="Times New Roman" w:eastAsia="Times New Roman" w:hAnsi="Times New Roman"/>
            <w:sz w:val="24"/>
            <w:szCs w:val="24"/>
            <w:vertAlign w:val="baseline"/>
            <w:rtl w:val="0"/>
          </w:rPr>
          <w:t xml:space="preserve">National Organic Standards Board_2018</w:t>
        </w:r>
      </w:hyperlink>
      <w:r w:rsidDel="00000000" w:rsidR="00000000" w:rsidRPr="00000000">
        <w:rPr>
          <w:rFonts w:ascii="Times New Roman" w:cs="Times New Roman" w:eastAsia="Times New Roman" w:hAnsi="Times New Roman"/>
          <w:sz w:val="24"/>
          <w:szCs w:val="24"/>
          <w:rtl w:val="0"/>
        </w:rPr>
        <w:t xml:space="preserve">, there is still opportunity for shirking. We propose that those particularly inclined to take advantage of the policy's leniency are farmers fitting the practical, more conventionalized profile, given that they have little principled motivation to adopt organic seed. In this case, we expect to see evidence that growers relying on the seed loophole are those who align with that profile – farmers who place low value on organic seeds' role in organic integrity, and have operations that resemble conventional farms: large acreage and low crop diversity.</w:t>
      </w:r>
    </w:p>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H2a. Conventional seed use will be highest among growers with who place low value on organic seeds' contribution to organic integrity</w:t>
      </w:r>
    </w:p>
    <w:p w:rsidR="00000000" w:rsidDel="00000000" w:rsidP="00000000" w:rsidRDefault="00000000" w:rsidRPr="00000000" w14:paraId="0000004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H2b. Conventional seed use will be highest on large farms</w:t>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H2c. Conventional seed use will be highest on low-diversity farms</w:t>
      </w:r>
    </w:p>
    <w:p w:rsidR="00000000" w:rsidDel="00000000" w:rsidP="00000000" w:rsidRDefault="00000000" w:rsidRPr="00000000" w14:paraId="0000004F">
      <w:pPr>
        <w:pStyle w:val="Heading2"/>
        <w:rPr>
          <w:rFonts w:ascii="Times New Roman" w:cs="Times New Roman" w:eastAsia="Times New Roman" w:hAnsi="Times New Roman"/>
        </w:rPr>
      </w:pPr>
      <w:bookmarkStart w:colFirst="0" w:colLast="0" w:name="_tll6h5y4j1rc" w:id="9"/>
      <w:bookmarkEnd w:id="9"/>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Methods</w:t>
      </w:r>
    </w:p>
    <w:p w:rsidR="00000000" w:rsidDel="00000000" w:rsidP="00000000" w:rsidRDefault="00000000" w:rsidRPr="00000000" w14:paraId="00000050">
      <w:pPr>
        <w:pStyle w:val="Heading3"/>
        <w:rPr>
          <w:rFonts w:ascii="Times New Roman" w:cs="Times New Roman" w:eastAsia="Times New Roman" w:hAnsi="Times New Roman"/>
        </w:rPr>
      </w:pPr>
      <w:bookmarkStart w:colFirst="0" w:colLast="0" w:name="_pjev0m9lurf6" w:id="10"/>
      <w:bookmarkEnd w:id="10"/>
      <w:r w:rsidDel="00000000" w:rsidR="00000000" w:rsidRPr="00000000">
        <w:rPr>
          <w:rFonts w:ascii="Times New Roman" w:cs="Times New Roman" w:eastAsia="Times New Roman" w:hAnsi="Times New Roman"/>
          <w:rtl w:val="0"/>
        </w:rPr>
        <w:t xml:space="preserve">3.1 Case: USDA National Organic Program and organic seed</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paper we focus on the case of the US Department of Agriculture (USDA) certified organic label. The organic movement in the US began prominently organizing in the 1970s, and it is through their collective action that the Organic Foods Production Act was passed as part of the 1990 Farm Bill and ultimately ratified in 2002 </w:t>
      </w:r>
      <w:hyperlink r:id="rId55">
        <w:r w:rsidDel="00000000" w:rsidR="00000000" w:rsidRPr="00000000">
          <w:rPr>
            <w:rFonts w:ascii="Times New Roman" w:cs="Times New Roman" w:eastAsia="Times New Roman" w:hAnsi="Times New Roman"/>
            <w:sz w:val="24"/>
            <w:szCs w:val="24"/>
            <w:vertAlign w:val="baseline"/>
            <w:rtl w:val="0"/>
          </w:rPr>
          <w:t xml:space="preserve">Youngberg_DeMuth_2013</w:t>
        </w:r>
      </w:hyperlink>
      <w:r w:rsidDel="00000000" w:rsidR="00000000" w:rsidRPr="00000000">
        <w:rPr>
          <w:rFonts w:ascii="Times New Roman" w:cs="Times New Roman" w:eastAsia="Times New Roman" w:hAnsi="Times New Roman"/>
          <w:sz w:val="24"/>
          <w:szCs w:val="24"/>
          <w:rtl w:val="0"/>
        </w:rPr>
        <w:t xml:space="preserve">. In the arrangement, the USDA National Organic Program (NOP) determines the standards, though they are advised by the National Organic Standards Board (NOSB) – a panel of industry representatives that meets regularly to continuously discuss exceptions and general guidance with input from the public.</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idea of certified organic crop production is that growers use only biological inputs (e.g. no pesticides or genetically modified seeds) to create an agro-ecosystem with healthy soil, diverse crop rotations, and minimal environmental impact </w:t>
      </w:r>
      <w:hyperlink r:id="rId56">
        <w:r w:rsidDel="00000000" w:rsidR="00000000" w:rsidRPr="00000000">
          <w:rPr>
            <w:rFonts w:ascii="Times New Roman" w:cs="Times New Roman" w:eastAsia="Times New Roman" w:hAnsi="Times New Roman"/>
            <w:sz w:val="24"/>
            <w:szCs w:val="24"/>
            <w:vertAlign w:val="baseline"/>
            <w:rtl w:val="0"/>
          </w:rPr>
          <w:t xml:space="preserve">USDA NOP_2015</w:t>
        </w:r>
      </w:hyperlink>
      <w:r w:rsidDel="00000000" w:rsidR="00000000" w:rsidRPr="00000000">
        <w:rPr>
          <w:rFonts w:ascii="Times New Roman" w:cs="Times New Roman" w:eastAsia="Times New Roman" w:hAnsi="Times New Roman"/>
          <w:sz w:val="24"/>
          <w:szCs w:val="24"/>
          <w:rtl w:val="0"/>
        </w:rPr>
        <w:t xml:space="preserve">. From start to finish of the certified organic supply chain, inputs should be organic to protect the integrity of the label, including seeds. In practical terms, organic seeds are those that are cultivated under certified organic conditions, meaning that using organic seed contributes to environmental outcomes by having more acreage managed under organic practices. The principle of organic seed, however, extends even further. Organic seeds ought to support genetic and crop diversity maintenance, be adapted to organic growing conditions, and suitable for regional environments </w:t>
      </w:r>
      <w:hyperlink r:id="rId57">
        <w:r w:rsidDel="00000000" w:rsidR="00000000" w:rsidRPr="00000000">
          <w:rPr>
            <w:rFonts w:ascii="Times New Roman" w:cs="Times New Roman" w:eastAsia="Times New Roman" w:hAnsi="Times New Roman"/>
            <w:sz w:val="24"/>
            <w:szCs w:val="24"/>
            <w:vertAlign w:val="baseline"/>
            <w:rtl w:val="0"/>
          </w:rPr>
          <w:t xml:space="preserve">Hubbard_Zystro_Wood_2022_Rohe_Oltmer_Wolter_Gmeiner_Tschersich_2022</w:t>
        </w:r>
      </w:hyperlink>
      <w:r w:rsidDel="00000000" w:rsidR="00000000" w:rsidRPr="00000000">
        <w:rPr>
          <w:rFonts w:ascii="Times New Roman" w:cs="Times New Roman" w:eastAsia="Times New Roman" w:hAnsi="Times New Roman"/>
          <w:sz w:val="24"/>
          <w:szCs w:val="24"/>
          <w:rtl w:val="0"/>
        </w:rPr>
        <w:t xml:space="preserve">. Furthermore, organic breeding is often collaborative, where seed sovereignty and social needs are included as project considerations </w:t>
      </w:r>
      <w:hyperlink r:id="rId58">
        <w:r w:rsidDel="00000000" w:rsidR="00000000" w:rsidRPr="00000000">
          <w:rPr>
            <w:rFonts w:ascii="Times New Roman" w:cs="Times New Roman" w:eastAsia="Times New Roman" w:hAnsi="Times New Roman"/>
            <w:sz w:val="24"/>
            <w:szCs w:val="24"/>
            <w:vertAlign w:val="baseline"/>
            <w:rtl w:val="0"/>
          </w:rPr>
          <w:t xml:space="preserve">Colley_2022_Dawson_Rivière_Berthellot_Mercier_Kochko_Galic_Pin_Serpolay_Thomas_Giuliano_et al._2011</w:t>
        </w:r>
      </w:hyperlink>
      <w:r w:rsidDel="00000000" w:rsidR="00000000" w:rsidRPr="00000000">
        <w:rPr>
          <w:rFonts w:ascii="Times New Roman" w:cs="Times New Roman" w:eastAsia="Times New Roman" w:hAnsi="Times New Roman"/>
          <w:sz w:val="24"/>
          <w:szCs w:val="24"/>
          <w:rtl w:val="0"/>
        </w:rPr>
        <w:t xml:space="preserve">. Altogether, organic seed is a foundational part of organic production, especially for more principled organic growers </w:t>
      </w:r>
      <w:hyperlink r:id="rId59">
        <w:r w:rsidDel="00000000" w:rsidR="00000000" w:rsidRPr="00000000">
          <w:rPr>
            <w:rFonts w:ascii="Times New Roman" w:cs="Times New Roman" w:eastAsia="Times New Roman" w:hAnsi="Times New Roman"/>
            <w:sz w:val="24"/>
            <w:szCs w:val="24"/>
            <w:vertAlign w:val="baseline"/>
            <w:rtl w:val="0"/>
          </w:rPr>
          <w:t xml:space="preserve">Hubbard_Zystro_Wood_2022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There are exceptions to several of the organic requirements, as mentioned in Section 2.2.1. Of focus in this paper is that USDA NOP growers are allowed to use conventional seed if "an equivalent organically produced variety is not commercially available" (7 CFR § 205.204). Third-party organic certifiers are responsible for evaluating organic growers' compliance with the organic standard, and whether or not a farm qualifies for the organic seed exemption is at their discretion. Now that more than twenty years have passed since the ratification of the NOP, we draw on data to understand trends in seed use and the attributes of growers that have been unable to source organic seed. Such an assessment can help policymakers rethink the organic seed policy as the US organic standard enters into its third decade. </w:t>
      </w:r>
      <w:r w:rsidDel="00000000" w:rsidR="00000000" w:rsidRPr="00000000">
        <w:rPr>
          <w:rtl w:val="0"/>
        </w:rPr>
      </w:r>
    </w:p>
    <w:p w:rsidR="00000000" w:rsidDel="00000000" w:rsidP="00000000" w:rsidRDefault="00000000" w:rsidRPr="00000000" w14:paraId="00000056">
      <w:pPr>
        <w:pStyle w:val="Heading3"/>
        <w:rPr>
          <w:rFonts w:ascii="Times New Roman" w:cs="Times New Roman" w:eastAsia="Times New Roman" w:hAnsi="Times New Roman"/>
        </w:rPr>
      </w:pPr>
      <w:bookmarkStart w:colFirst="0" w:colLast="0" w:name="_i7i5ta38lj95" w:id="11"/>
      <w:bookmarkEnd w:id="11"/>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.2 Data: Organic grower surveys</w:t>
      </w:r>
    </w:p>
    <w:p w:rsidR="00000000" w:rsidDel="00000000" w:rsidP="00000000" w:rsidRDefault="00000000" w:rsidRPr="00000000" w14:paraId="0000005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research combines three cross-sectional surveys of organic seed producers in the United States. These data were collected between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2009-2011, 2014-2016, and 2019-2021, which we will refer to as the 2010, 2015, and 2020 time periods. The nation-wide organic grower survey, orchestrated by the national non-profit organization Organic Seed Alliance, covers four topics: farm profile, use of organic seed, barriers to organic seed and sourcing, and attitudes towards organic seed. </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 each data collection period, grower surveys were distributed using one or both of the following methods: a random sample from the USDA NOP INTEGRITY database and a convenience sample from an open-access web survey. Responses from both the combined random and convenience samples resulted in a total of 899 responses in 2010, 1,162 responses in 2015, and 760 responses in 2020 that had identifiable regions and crops. The points on the map in Figure 1.1 represent the distribution of our survey respondents. We cannot associate a response rate with our convenience sampling, but the response rates for the random samples were 25% in 2015 and 22.5% in 2020 (convenience sampling only in 2010). Of these responses, 545 (2010), 799 (2015) and 408 (2020) were complete and therefore usable in our analysis. </w:t>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 echo = F, out.width = '80%', fig.align = 'center', fig.cap = 'Map of survey responses (points) across the United States over three time periods: 2010 (purple), 2015 (blue), 2020 (green).'}</w:t>
      </w:r>
    </w:p>
    <w:p w:rsidR="00000000" w:rsidDel="00000000" w:rsidP="00000000" w:rsidRDefault="00000000" w:rsidRPr="00000000" w14:paraId="000000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knitr::include_graphics('~/Documents/Davis/R-Projects/organicseed_adoption/figures/figure1.png')</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5D">
      <w:pPr>
        <w:pStyle w:val="Heading3"/>
        <w:rPr>
          <w:rFonts w:ascii="Times New Roman" w:cs="Times New Roman" w:eastAsia="Times New Roman" w:hAnsi="Times New Roman"/>
        </w:rPr>
      </w:pPr>
      <w:bookmarkStart w:colFirst="0" w:colLast="0" w:name="_q128zjmujty9" w:id="12"/>
      <w:bookmarkEnd w:id="12"/>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.3 Analysis</w:t>
      </w:r>
      <w:r w:rsidDel="00000000" w:rsidR="00000000" w:rsidRPr="00000000">
        <w:rPr>
          <w:rtl w:val="0"/>
        </w:rPr>
      </w:r>
    </w:p>
    <w:p w:rsidR="00000000" w:rsidDel="00000000" w:rsidP="00000000" w:rsidRDefault="00000000" w:rsidRPr="00000000" w14:paraId="0000005E">
      <w:pPr>
        <w:pStyle w:val="Heading4"/>
        <w:rPr>
          <w:rFonts w:ascii="Times New Roman" w:cs="Times New Roman" w:eastAsia="Times New Roman" w:hAnsi="Times New Roman"/>
        </w:rPr>
      </w:pPr>
      <w:bookmarkStart w:colFirst="0" w:colLast="0" w:name="_l0w99wolo7ik" w:id="13"/>
      <w:bookmarkEnd w:id="13"/>
      <w:r w:rsidDel="00000000" w:rsidR="00000000" w:rsidRPr="00000000">
        <w:rPr>
          <w:rFonts w:ascii="Times New Roman" w:cs="Times New Roman" w:eastAsia="Times New Roman" w:hAnsi="Times New Roman"/>
          <w:rtl w:val="0"/>
        </w:rPr>
        <w:t xml:space="preserve">3.3.1 Variables</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Descriptions of the variables used in our model are described in Table 1.1. The key dependent variable in our model is </w:t>
      </w:r>
      <w:r w:rsidDel="00000000" w:rsidR="00000000" w:rsidRPr="00000000">
        <w:rPr>
          <w:rFonts w:ascii="Times New Roman" w:cs="Times New Roman" w:eastAsia="Times New Roman" w:hAnsi="Times New Roman"/>
          <w:i w:val="1"/>
          <w:sz w:val="24"/>
          <w:szCs w:val="24"/>
          <w:rtl w:val="0"/>
        </w:rPr>
        <w:t xml:space="preserve">acreage planted to conventional seed</w:t>
      </w:r>
      <w:r w:rsidDel="00000000" w:rsidR="00000000" w:rsidRPr="00000000">
        <w:rPr>
          <w:rFonts w:ascii="Times New Roman" w:cs="Times New Roman" w:eastAsia="Times New Roman" w:hAnsi="Times New Roman"/>
          <w:sz w:val="24"/>
          <w:szCs w:val="24"/>
          <w:rtl w:val="0"/>
        </w:rPr>
        <w:t xml:space="preserve">. The survey asks respondents: "Last year, what approximate percentage of total acreage of [vegetable/forage/field crops] was planted with certified organic seed?" The response to this question is a continuous variable between 0 and 100, which was converted into a proportion. Then we subtracted this value from one to represent the proportion of acreage planted to conventional seed. </w:t>
      </w:r>
      <w:r w:rsidDel="00000000" w:rsidR="00000000" w:rsidRPr="00000000">
        <w:rPr>
          <w:rtl w:val="0"/>
        </w:rPr>
      </w:r>
    </w:p>
    <w:p w:rsidR="00000000" w:rsidDel="00000000" w:rsidP="00000000" w:rsidRDefault="00000000" w:rsidRPr="00000000" w14:paraId="00000060">
      <w:pPr>
        <w:ind w:firstLine="72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analysis includes eight independent variables for predicting adoption. The first five variables are relevant to our first hypotheses. These include four variables describing </w:t>
      </w:r>
      <w:r w:rsidDel="00000000" w:rsidR="00000000" w:rsidRPr="00000000">
        <w:rPr>
          <w:rFonts w:ascii="Times New Roman" w:cs="Times New Roman" w:eastAsia="Times New Roman" w:hAnsi="Times New Roman"/>
          <w:i w:val="1"/>
          <w:sz w:val="24"/>
          <w:szCs w:val="24"/>
          <w:rtl w:val="0"/>
        </w:rPr>
        <w:t xml:space="preserve">barriers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sourcing organic seed. Growers were asked, "Over the last three years, how much were each of the following a factor in your decision NOT to purchase organic seed?". The top reasons include: Variety is not available as organic, lack of desirable genetic traits, insufficient quantity of seed, and processor/buyer requires or supplies varieties that are not available in organic form. Responses were Likert-scale ratings from "Not a factor" (1) to "Significant factor" (4). Additionally, the </w:t>
      </w:r>
      <w:r w:rsidDel="00000000" w:rsidR="00000000" w:rsidRPr="00000000">
        <w:rPr>
          <w:rFonts w:ascii="Times New Roman" w:cs="Times New Roman" w:eastAsia="Times New Roman" w:hAnsi="Times New Roman"/>
          <w:i w:val="1"/>
          <w:sz w:val="24"/>
          <w:szCs w:val="24"/>
          <w:rtl w:val="0"/>
        </w:rPr>
        <w:t xml:space="preserve">survey year</w:t>
      </w:r>
      <w:r w:rsidDel="00000000" w:rsidR="00000000" w:rsidRPr="00000000">
        <w:rPr>
          <w:rFonts w:ascii="Times New Roman" w:cs="Times New Roman" w:eastAsia="Times New Roman" w:hAnsi="Times New Roman"/>
          <w:sz w:val="24"/>
          <w:szCs w:val="24"/>
          <w:rtl w:val="0"/>
        </w:rPr>
        <w:t xml:space="preserve"> variable captures how the organic seed market has changed over time.</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three variables are relevant to our second hypotheses. Organic growers' </w:t>
      </w:r>
      <w:r w:rsidDel="00000000" w:rsidR="00000000" w:rsidRPr="00000000">
        <w:rPr>
          <w:rFonts w:ascii="Times New Roman" w:cs="Times New Roman" w:eastAsia="Times New Roman" w:hAnsi="Times New Roman"/>
          <w:sz w:val="24"/>
          <w:szCs w:val="24"/>
          <w:rtl w:val="0"/>
        </w:rPr>
        <w:t xml:space="preserve">principled </w:t>
      </w:r>
      <w:r w:rsidDel="00000000" w:rsidR="00000000" w:rsidRPr="00000000">
        <w:rPr>
          <w:rFonts w:ascii="Times New Roman" w:cs="Times New Roman" w:eastAsia="Times New Roman" w:hAnsi="Times New Roman"/>
          <w:i w:val="1"/>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of organic seed</w:t>
      </w:r>
      <w:r w:rsidDel="00000000" w:rsidR="00000000" w:rsidRPr="00000000">
        <w:rPr>
          <w:rFonts w:ascii="Times New Roman" w:cs="Times New Roman" w:eastAsia="Times New Roman" w:hAnsi="Times New Roman"/>
          <w:sz w:val="24"/>
          <w:szCs w:val="24"/>
          <w:rtl w:val="0"/>
        </w:rPr>
        <w:t xml:space="preserve"> is based on respondents' agreement with the statement: "Organic seed is important in maintaining the integrity of organic food production." Agreement ranged from "Strongly disagree" (1) to "Strongly agree" (5). </w:t>
      </w:r>
      <w:r w:rsidDel="00000000" w:rsidR="00000000" w:rsidRPr="00000000">
        <w:rPr>
          <w:rFonts w:ascii="Times New Roman" w:cs="Times New Roman" w:eastAsia="Times New Roman" w:hAnsi="Times New Roman"/>
          <w:i w:val="1"/>
          <w:sz w:val="24"/>
          <w:szCs w:val="24"/>
          <w:rtl w:val="0"/>
        </w:rPr>
        <w:t xml:space="preserve">Farm size</w:t>
      </w:r>
      <w:r w:rsidDel="00000000" w:rsidR="00000000" w:rsidRPr="00000000">
        <w:rPr>
          <w:rFonts w:ascii="Times New Roman" w:cs="Times New Roman" w:eastAsia="Times New Roman" w:hAnsi="Times New Roman"/>
          <w:sz w:val="24"/>
          <w:szCs w:val="24"/>
          <w:rtl w:val="0"/>
        </w:rPr>
        <w:t xml:space="preserve">, measured as acreage ranging from 1-17,000 acres, is a representation of scale and farm resources. And </w:t>
      </w:r>
      <w:r w:rsidDel="00000000" w:rsidR="00000000" w:rsidRPr="00000000">
        <w:rPr>
          <w:rFonts w:ascii="Times New Roman" w:cs="Times New Roman" w:eastAsia="Times New Roman" w:hAnsi="Times New Roman"/>
          <w:i w:val="1"/>
          <w:sz w:val="24"/>
          <w:szCs w:val="24"/>
          <w:rtl w:val="0"/>
        </w:rPr>
        <w:t xml:space="preserve">crop diversity</w:t>
      </w:r>
      <w:r w:rsidDel="00000000" w:rsidR="00000000" w:rsidRPr="00000000">
        <w:rPr>
          <w:rFonts w:ascii="Times New Roman" w:cs="Times New Roman" w:eastAsia="Times New Roman" w:hAnsi="Times New Roman"/>
          <w:sz w:val="24"/>
          <w:szCs w:val="24"/>
          <w:rtl w:val="0"/>
        </w:rPr>
        <w:t xml:space="preserve"> is the number of crop categories growers produce, which include field, vegetable, and forage crops.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Last, we include four variables in our model as controls – variables we expect to influence adoption but are not of theoretical interest to this paper. These include the amount of </w:t>
      </w:r>
      <w:r w:rsidDel="00000000" w:rsidR="00000000" w:rsidRPr="00000000">
        <w:rPr>
          <w:rFonts w:ascii="Times New Roman" w:cs="Times New Roman" w:eastAsia="Times New Roman" w:hAnsi="Times New Roman"/>
          <w:i w:val="1"/>
          <w:sz w:val="24"/>
          <w:szCs w:val="24"/>
          <w:rtl w:val="0"/>
        </w:rPr>
        <w:t xml:space="preserve">seed sourced via seed saving or trading</w:t>
      </w:r>
      <w:r w:rsidDel="00000000" w:rsidR="00000000" w:rsidRPr="00000000">
        <w:rPr>
          <w:rFonts w:ascii="Times New Roman" w:cs="Times New Roman" w:eastAsia="Times New Roman" w:hAnsi="Times New Roman"/>
          <w:sz w:val="24"/>
          <w:szCs w:val="24"/>
          <w:rtl w:val="0"/>
        </w:rPr>
        <w:t xml:space="preserve">, represented as </w:t>
      </w:r>
      <w:r w:rsidDel="00000000" w:rsidR="00000000" w:rsidRPr="00000000">
        <w:rPr>
          <w:rFonts w:ascii="Times New Roman" w:cs="Times New Roman" w:eastAsia="Times New Roman" w:hAnsi="Times New Roman"/>
          <w:sz w:val="24"/>
          <w:szCs w:val="24"/>
          <w:rtl w:val="0"/>
        </w:rPr>
        <w:t xml:space="preserve">the percentage of seeds that farmers report sourcing from either their own farm or from other farmers, ranging between 0 and 100 percent. </w:t>
      </w:r>
      <w:r w:rsidDel="00000000" w:rsidR="00000000" w:rsidRPr="00000000">
        <w:rPr>
          <w:rFonts w:ascii="Times New Roman" w:cs="Times New Roman" w:eastAsia="Times New Roman" w:hAnsi="Times New Roman"/>
          <w:i w:val="1"/>
          <w:sz w:val="24"/>
          <w:szCs w:val="24"/>
          <w:rtl w:val="0"/>
        </w:rPr>
        <w:t xml:space="preserve">Certifiers request organic seed use </w:t>
      </w:r>
      <w:r w:rsidDel="00000000" w:rsidR="00000000" w:rsidRPr="00000000">
        <w:rPr>
          <w:rFonts w:ascii="Times New Roman" w:cs="Times New Roman" w:eastAsia="Times New Roman" w:hAnsi="Times New Roman"/>
          <w:sz w:val="24"/>
          <w:szCs w:val="24"/>
          <w:rtl w:val="0"/>
        </w:rPr>
        <w:t xml:space="preserve">is the </w:t>
      </w:r>
      <w:r w:rsidDel="00000000" w:rsidR="00000000" w:rsidRPr="00000000">
        <w:rPr>
          <w:rFonts w:ascii="Times New Roman" w:cs="Times New Roman" w:eastAsia="Times New Roman" w:hAnsi="Times New Roman"/>
          <w:sz w:val="24"/>
          <w:szCs w:val="24"/>
          <w:rtl w:val="0"/>
        </w:rPr>
        <w:t xml:space="preserve">growers' reported experience with certifiers' regulatory enforcement. Growers were asked the yes-no question: "Over the last three years has your certifier requested that you take greater steps to source organic seed?". Last, we include the </w:t>
      </w:r>
      <w:r w:rsidDel="00000000" w:rsidR="00000000" w:rsidRPr="00000000">
        <w:rPr>
          <w:rFonts w:ascii="Times New Roman" w:cs="Times New Roman" w:eastAsia="Times New Roman" w:hAnsi="Times New Roman"/>
          <w:i w:val="1"/>
          <w:sz w:val="24"/>
          <w:szCs w:val="24"/>
          <w:rtl w:val="0"/>
        </w:rPr>
        <w:t xml:space="preserve">region</w:t>
      </w:r>
      <w:r w:rsidDel="00000000" w:rsidR="00000000" w:rsidRPr="00000000">
        <w:rPr>
          <w:rFonts w:ascii="Times New Roman" w:cs="Times New Roman" w:eastAsia="Times New Roman" w:hAnsi="Times New Roman"/>
          <w:sz w:val="24"/>
          <w:szCs w:val="24"/>
          <w:rtl w:val="0"/>
        </w:rPr>
        <w:t xml:space="preserve"> in which the farmer is located and the </w:t>
      </w:r>
      <w:r w:rsidDel="00000000" w:rsidR="00000000" w:rsidRPr="00000000">
        <w:rPr>
          <w:rFonts w:ascii="Times New Roman" w:cs="Times New Roman" w:eastAsia="Times New Roman" w:hAnsi="Times New Roman"/>
          <w:i w:val="1"/>
          <w:sz w:val="24"/>
          <w:szCs w:val="24"/>
          <w:rtl w:val="0"/>
        </w:rPr>
        <w:t xml:space="preserve">main crop</w:t>
      </w:r>
      <w:r w:rsidDel="00000000" w:rsidR="00000000" w:rsidRPr="00000000">
        <w:rPr>
          <w:rFonts w:ascii="Times New Roman" w:cs="Times New Roman" w:eastAsia="Times New Roman" w:hAnsi="Times New Roman"/>
          <w:sz w:val="24"/>
          <w:szCs w:val="24"/>
          <w:rtl w:val="0"/>
        </w:rPr>
        <w:t xml:space="preserve"> of that grower based on their percent acreage planted to that crop, to account for variation in the development and availability of organic seed in these different subsystems. </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 echo = F}</w:t>
      </w:r>
    </w:p>
    <w:p w:rsidR="00000000" w:rsidDel="00000000" w:rsidP="00000000" w:rsidRDefault="00000000" w:rsidRPr="00000000" w14:paraId="000000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table1.1 &lt;- read.csv('~/Documents/Davis/R-Projects/organicseed_adoption/tables/table1_manual.csv') ;</w:t>
      </w:r>
    </w:p>
    <w:p w:rsidR="00000000" w:rsidDel="00000000" w:rsidP="00000000" w:rsidRDefault="00000000" w:rsidRPr="00000000" w14:paraId="000000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colnames(table1.1) &lt;- c('Data description', 'Hypothesis', 'Variable name', 'Data type') ; </w:t>
      </w:r>
    </w:p>
    <w:p w:rsidR="00000000" w:rsidDel="00000000" w:rsidP="00000000" w:rsidRDefault="00000000" w:rsidRPr="00000000" w14:paraId="000000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kbl(table1.1, booktabs = T, caption = 'Organic seed grower survey questions, key variables, and hypotheses', align = c('l', rep('c', 3))) %&gt;% kable_styling(latex_options = 'scale_down') %&gt;% row_spec(1, hline_after = T) %&gt;% row_spec(4, hline_after = T) %&gt;% row_spec(5, hline_after = T) %&gt;% row_spec(25, hline_after = T) %&gt;% row_spec(26, hline_after = T)</w:t>
      </w:r>
    </w:p>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&lt;!---</w:t>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tbl>
      <w:tblPr>
        <w:tblStyle w:val="Table1"/>
        <w:tblW w:w="9060.0" w:type="dxa"/>
        <w:jc w:val="left"/>
        <w:tblLayout w:type="fixed"/>
        <w:tblLook w:val="0600"/>
      </w:tblPr>
      <w:tblGrid>
        <w:gridCol w:w="3945"/>
        <w:gridCol w:w="1110"/>
        <w:gridCol w:w="1860"/>
        <w:gridCol w:w="2145"/>
        <w:tblGridChange w:id="0">
          <w:tblGrid>
            <w:gridCol w:w="3945"/>
            <w:gridCol w:w="1110"/>
            <w:gridCol w:w="1860"/>
            <w:gridCol w:w="2145"/>
          </w:tblGrid>
        </w:tblGridChange>
      </w:tblGrid>
      <w:tr>
        <w:trPr>
          <w:cantSplit w:val="0"/>
          <w:trHeight w:val="12.959999999999997" w:hRule="atLeast"/>
          <w:tblHeader w:val="0"/>
        </w:trPr>
        <w:tc>
          <w:tcPr>
            <w:tcBorders>
              <w:top w:color="202124" w:space="0" w:sz="4" w:val="single"/>
              <w:left w:color="000000" w:space="0" w:sz="0" w:val="nil"/>
              <w:bottom w:color="202124" w:space="0" w:sz="4" w:val="single"/>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Data description</w:t>
            </w:r>
          </w:p>
        </w:tc>
        <w:tc>
          <w:tcPr>
            <w:tcBorders>
              <w:top w:color="202124" w:space="0" w:sz="4" w:val="single"/>
              <w:left w:color="000000" w:space="0" w:sz="0" w:val="nil"/>
              <w:bottom w:color="202124" w:space="0" w:sz="4" w:val="single"/>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6E">
            <w:pP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Hypothesis</w:t>
            </w:r>
          </w:p>
        </w:tc>
        <w:tc>
          <w:tcPr>
            <w:tcBorders>
              <w:top w:color="202124" w:space="0" w:sz="4" w:val="single"/>
              <w:left w:color="000000" w:space="0" w:sz="0" w:val="nil"/>
              <w:bottom w:color="202124" w:space="0" w:sz="4" w:val="single"/>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6F">
            <w:pP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Variable </w:t>
            </w:r>
          </w:p>
          <w:p w:rsidR="00000000" w:rsidDel="00000000" w:rsidP="00000000" w:rsidRDefault="00000000" w:rsidRPr="00000000" w14:paraId="00000070">
            <w:pP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name</w:t>
            </w:r>
          </w:p>
        </w:tc>
        <w:tc>
          <w:tcPr>
            <w:tcBorders>
              <w:top w:color="202124" w:space="0" w:sz="4" w:val="single"/>
              <w:left w:color="000000" w:space="0" w:sz="0" w:val="nil"/>
              <w:bottom w:color="202124" w:space="0" w:sz="4" w:val="single"/>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71">
            <w:pP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Data </w:t>
            </w:r>
          </w:p>
          <w:p w:rsidR="00000000" w:rsidDel="00000000" w:rsidP="00000000" w:rsidRDefault="00000000" w:rsidRPr="00000000" w14:paraId="00000072">
            <w:pP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type</w:t>
            </w:r>
          </w:p>
        </w:tc>
      </w:tr>
      <w:tr>
        <w:trPr>
          <w:cantSplit w:val="0"/>
          <w:trHeight w:val="300" w:hRule="atLeast"/>
          <w:tblHeader w:val="0"/>
        </w:trPr>
        <w:tc>
          <w:tcPr>
            <w:gridSpan w:val="4"/>
            <w:tcBorders>
              <w:top w:color="202124" w:space="0" w:sz="4" w:val="single"/>
              <w:left w:color="000000" w:space="0" w:sz="0" w:val="nil"/>
              <w:bottom w:color="202124" w:space="0" w:sz="4" w:val="single"/>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73">
            <w:pPr>
              <w:widowControl w:val="0"/>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Dependent variable</w:t>
            </w:r>
            <w:r w:rsidDel="00000000" w:rsidR="00000000" w:rsidRPr="00000000">
              <w:rPr>
                <w:rtl w:val="0"/>
              </w:rPr>
            </w:r>
          </w:p>
        </w:tc>
      </w:tr>
      <w:tr>
        <w:trPr>
          <w:cantSplit w:val="0"/>
          <w:trHeight w:val="506.0595703125" w:hRule="atLeast"/>
          <w:tblHeader w:val="0"/>
        </w:trPr>
        <w:tc>
          <w:tcPr>
            <w:tcBorders>
              <w:top w:color="202124" w:space="0" w:sz="4" w:val="single"/>
              <w:left w:color="000000" w:space="0" w:sz="0" w:val="nil"/>
              <w:bottom w:color="000000" w:space="0" w:sz="4" w:val="single"/>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Last year, what approximate percentage of total acreage of [crop] was planted with conventional seed? </w:t>
            </w:r>
            <w:r w:rsidDel="00000000" w:rsidR="00000000" w:rsidRPr="00000000">
              <w:rPr>
                <w:rtl w:val="0"/>
              </w:rPr>
            </w:r>
          </w:p>
        </w:tc>
        <w:tc>
          <w:tcPr>
            <w:tcBorders>
              <w:top w:color="202124" w:space="0" w:sz="4" w:val="single"/>
              <w:left w:color="000000" w:space="0" w:sz="0" w:val="nil"/>
              <w:bottom w:color="000000" w:space="0" w:sz="4" w:val="single"/>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78">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202124" w:space="0" w:sz="4" w:val="single"/>
              <w:left w:color="000000" w:space="0" w:sz="0" w:val="nil"/>
              <w:bottom w:color="000000" w:space="0" w:sz="4" w:val="single"/>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7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Acreage planted to conventional seed</w:t>
            </w:r>
          </w:p>
        </w:tc>
        <w:tc>
          <w:tcPr>
            <w:tcBorders>
              <w:top w:color="202124" w:space="0" w:sz="4" w:val="single"/>
              <w:left w:color="000000" w:space="0" w:sz="0" w:val="nil"/>
              <w:bottom w:color="202124" w:space="0" w:sz="4" w:val="single"/>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7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Proportion </w:t>
            </w:r>
          </w:p>
          <w:p w:rsidR="00000000" w:rsidDel="00000000" w:rsidP="00000000" w:rsidRDefault="00000000" w:rsidRPr="00000000" w14:paraId="0000007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tc>
      </w:tr>
      <w:tr>
        <w:trPr>
          <w:cantSplit w:val="0"/>
          <w:trHeight w:val="300" w:hRule="atLeast"/>
          <w:tblHeader w:val="0"/>
        </w:trPr>
        <w:tc>
          <w:tcPr>
            <w:gridSpan w:val="4"/>
            <w:tcBorders>
              <w:top w:color="000000" w:space="0" w:sz="4" w:val="single"/>
              <w:left w:color="000000" w:space="0" w:sz="0" w:val="nil"/>
              <w:bottom w:color="000000" w:space="0" w:sz="4" w:val="single"/>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Independent variables</w:t>
            </w:r>
          </w:p>
        </w:tc>
      </w:tr>
      <w:tr>
        <w:trPr>
          <w:cantSplit w:val="0"/>
          <w:tblHeader w:val="0"/>
        </w:trPr>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 the last three years, how much were each of the following a factor in your decision NOT to purchase organic seed?</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81">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8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83">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Specific variety not available as </w:t>
            </w:r>
          </w:p>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organic seed</w:t>
            </w:r>
          </w:p>
        </w:tc>
        <w:tc>
          <w:tcPr>
            <w:tcBorders>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8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H1a</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8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Barrier: Organic availability</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8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Likert scale </w:t>
            </w:r>
          </w:p>
          <w:p w:rsidR="00000000" w:rsidDel="00000000" w:rsidP="00000000" w:rsidRDefault="00000000" w:rsidRPr="00000000" w14:paraId="0000008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r>
      <w:tr>
        <w:trPr>
          <w:cantSplit w:val="0"/>
          <w:tblHeader w:val="0"/>
        </w:trPr>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Insufficient quantity of seed</w:t>
            </w:r>
          </w:p>
        </w:tc>
        <w:tc>
          <w:tcPr>
            <w:tcBorders>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8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H1a</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8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Barrier: Insufficient quantity</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8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Likert scale </w:t>
            </w:r>
          </w:p>
          <w:p w:rsidR="00000000" w:rsidDel="00000000" w:rsidP="00000000" w:rsidRDefault="00000000" w:rsidRPr="00000000" w14:paraId="0000008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r>
      <w:tr>
        <w:trPr>
          <w:cantSplit w:val="0"/>
          <w:tblHeader w:val="0"/>
        </w:trPr>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Lack of desirable genetic traits</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9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H1a</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9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Barrier: Undesirable </w:t>
            </w:r>
          </w:p>
          <w:p w:rsidR="00000000" w:rsidDel="00000000" w:rsidP="00000000" w:rsidRDefault="00000000" w:rsidRPr="00000000" w14:paraId="0000009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traits</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9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Likert scale </w:t>
            </w:r>
          </w:p>
          <w:p w:rsidR="00000000" w:rsidDel="00000000" w:rsidP="00000000" w:rsidRDefault="00000000" w:rsidRPr="00000000" w14:paraId="0000009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r>
      <w:tr>
        <w:trPr>
          <w:cantSplit w:val="0"/>
          <w:tblHeader w:val="0"/>
        </w:trPr>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Processor/buyer requires or supplies   </w:t>
            </w:r>
          </w:p>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varieties that are not available</w:t>
            </w:r>
          </w:p>
        </w:tc>
        <w:tc>
          <w:tcPr>
            <w:tcBorders>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9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H1a</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9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Barrier: Buyer requirements</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9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Likert scale </w:t>
            </w:r>
          </w:p>
          <w:p w:rsidR="00000000" w:rsidDel="00000000" w:rsidP="00000000" w:rsidRDefault="00000000" w:rsidRPr="00000000" w14:paraId="0000009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r>
      <w:tr>
        <w:trPr>
          <w:cantSplit w:val="0"/>
          <w:tblHeader w:val="0"/>
        </w:trPr>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Survey year</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9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H1b</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9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Survey year</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9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Categorical </w:t>
            </w:r>
          </w:p>
          <w:p w:rsidR="00000000" w:rsidDel="00000000" w:rsidP="00000000" w:rsidRDefault="00000000" w:rsidRPr="00000000" w14:paraId="0000009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(2010, 2015, 2020)</w:t>
            </w:r>
          </w:p>
        </w:tc>
      </w:tr>
      <w:tr>
        <w:trPr>
          <w:cantSplit w:val="0"/>
          <w:tblHeader w:val="0"/>
        </w:trPr>
        <w:tc>
          <w:tcPr>
            <w:tcBorders>
              <w:top w:color="000000" w:space="0" w:sz="0" w:val="nil"/>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Please indicate your level of agreement with the statement: Organic seed is important in maintaining the integrity of organic food production</w:t>
            </w:r>
          </w:p>
        </w:tc>
        <w:tc>
          <w:tcPr>
            <w:tcBorders>
              <w:top w:color="000000" w:space="0" w:sz="0" w:val="nil"/>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H2a</w:t>
            </w:r>
          </w:p>
        </w:tc>
        <w:tc>
          <w:tcPr>
            <w:tcBorders>
              <w:top w:color="000000" w:space="0" w:sz="0" w:val="nil"/>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Values organic seed</w:t>
            </w:r>
          </w:p>
        </w:tc>
        <w:tc>
          <w:tcPr>
            <w:tcBorders>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Likert scale </w:t>
            </w:r>
          </w:p>
          <w:p w:rsidR="00000000" w:rsidDel="00000000" w:rsidP="00000000" w:rsidRDefault="00000000" w:rsidRPr="00000000" w14:paraId="000000A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blHeader w:val="0"/>
        </w:trPr>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acreage</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H2b</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Farm size (acres)</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w:t>
            </w:r>
          </w:p>
          <w:p w:rsidR="00000000" w:rsidDel="00000000" w:rsidP="00000000" w:rsidRDefault="00000000" w:rsidRPr="00000000" w14:paraId="000000A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(0-17,000)</w:t>
            </w:r>
          </w:p>
        </w:tc>
      </w:tr>
      <w:tr>
        <w:trPr>
          <w:cantSplit w:val="0"/>
          <w:tblHeader w:val="0"/>
        </w:trPr>
        <w:tc>
          <w:tcPr>
            <w:tcBorders>
              <w:top w:color="000000" w:space="0" w:sz="0" w:val="nil"/>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Crop diversity</w:t>
            </w:r>
          </w:p>
        </w:tc>
        <w:tc>
          <w:tcPr>
            <w:tcBorders>
              <w:top w:color="000000" w:space="0" w:sz="0" w:val="nil"/>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H2c</w:t>
            </w:r>
          </w:p>
        </w:tc>
        <w:tc>
          <w:tcPr>
            <w:tcBorders>
              <w:top w:color="000000" w:space="0" w:sz="0" w:val="nil"/>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Crop diversity</w:t>
            </w:r>
          </w:p>
        </w:tc>
        <w:tc>
          <w:tcPr>
            <w:tcBorders>
              <w:top w:color="000000" w:space="0" w:sz="0" w:val="nil"/>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w:t>
            </w:r>
          </w:p>
          <w:p w:rsidR="00000000" w:rsidDel="00000000" w:rsidP="00000000" w:rsidRDefault="00000000" w:rsidRPr="00000000" w14:paraId="000000A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r>
      <w:tr>
        <w:trPr>
          <w:cantSplit w:val="0"/>
          <w:trHeight w:val="300" w:hRule="atLeast"/>
          <w:tblHeader w:val="0"/>
        </w:trPr>
        <w:tc>
          <w:tcPr>
            <w:gridSpan w:val="4"/>
            <w:tcBorders>
              <w:top w:color="000000" w:space="0" w:sz="4" w:val="single"/>
              <w:left w:color="000000" w:space="0" w:sz="0" w:val="nil"/>
              <w:bottom w:color="000000" w:space="0" w:sz="4" w:val="single"/>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 variables</w:t>
            </w:r>
          </w:p>
        </w:tc>
      </w:tr>
      <w:tr>
        <w:trPr>
          <w:cantSplit w:val="0"/>
          <w:trHeight w:val="12.959999999999997" w:hRule="atLeast"/>
          <w:tblHeader w:val="0"/>
        </w:trPr>
        <w:tc>
          <w:tcPr>
            <w:tcBorders>
              <w:top w:color="000000" w:space="0" w:sz="0" w:val="nil"/>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B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 your certifier requested that you take greater steps to source organic seed?</w:t>
            </w:r>
          </w:p>
        </w:tc>
        <w:tc>
          <w:tcPr>
            <w:tcBorders>
              <w:top w:color="000000" w:space="0" w:sz="0" w:val="nil"/>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B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B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Certifiers request organic seed use</w:t>
            </w:r>
          </w:p>
        </w:tc>
        <w:tc>
          <w:tcPr>
            <w:tcBorders>
              <w:top w:color="000000" w:space="0" w:sz="0" w:val="nil"/>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B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w:t>
            </w:r>
          </w:p>
          <w:p w:rsidR="00000000" w:rsidDel="00000000" w:rsidP="00000000" w:rsidRDefault="00000000" w:rsidRPr="00000000" w14:paraId="000000B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tc>
      </w:tr>
      <w:tr>
        <w:trPr>
          <w:cantSplit w:val="0"/>
          <w:trHeight w:val="12.959999999999997"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Sources seed from self or other farmers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B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B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Seed saved or traded (%)</w:t>
            </w:r>
          </w:p>
        </w:tc>
        <w:tc>
          <w:tcPr>
            <w:tcBorders>
              <w:top w:color="000000" w:space="0" w:sz="0" w:val="nil"/>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B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Percent </w:t>
            </w:r>
          </w:p>
          <w:p w:rsidR="00000000" w:rsidDel="00000000" w:rsidP="00000000" w:rsidRDefault="00000000" w:rsidRPr="00000000" w14:paraId="000000B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(0-100)</w:t>
            </w:r>
          </w:p>
        </w:tc>
      </w:tr>
      <w:tr>
        <w:trPr>
          <w:cantSplit w:val="0"/>
          <w:trHeight w:val="12.959999999999997"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B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 crop</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BE">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B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Crop</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C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Categorical</w:t>
            </w:r>
          </w:p>
          <w:p w:rsidR="00000000" w:rsidDel="00000000" w:rsidP="00000000" w:rsidRDefault="00000000" w:rsidRPr="00000000" w14:paraId="000000C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(Field, Forage, Vegetable)</w:t>
            </w:r>
          </w:p>
        </w:tc>
      </w:tr>
      <w:tr>
        <w:trPr>
          <w:cantSplit w:val="0"/>
          <w:trHeight w:val="12.959999999999997"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Region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C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C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Region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C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Categorical </w:t>
            </w:r>
          </w:p>
          <w:p w:rsidR="00000000" w:rsidDel="00000000" w:rsidP="00000000" w:rsidRDefault="00000000" w:rsidRPr="00000000" w14:paraId="000000C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Central, West, Northeast, South)</w:t>
            </w:r>
          </w:p>
        </w:tc>
      </w:tr>
    </w:tbl>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&gt;</w:t>
      </w:r>
    </w:p>
    <w:p w:rsidR="00000000" w:rsidDel="00000000" w:rsidP="00000000" w:rsidRDefault="00000000" w:rsidRPr="00000000" w14:paraId="000000C8">
      <w:pPr>
        <w:pStyle w:val="Heading4"/>
        <w:rPr>
          <w:rFonts w:ascii="Times New Roman" w:cs="Times New Roman" w:eastAsia="Times New Roman" w:hAnsi="Times New Roman"/>
        </w:rPr>
      </w:pPr>
      <w:bookmarkStart w:colFirst="0" w:colLast="0" w:name="_vnkkyrzejydo" w:id="14"/>
      <w:bookmarkEnd w:id="14"/>
      <w:r w:rsidDel="00000000" w:rsidR="00000000" w:rsidRPr="00000000">
        <w:rPr>
          <w:rFonts w:ascii="Times New Roman" w:cs="Times New Roman" w:eastAsia="Times New Roman" w:hAnsi="Times New Roman"/>
          <w:rtl w:val="0"/>
        </w:rPr>
        <w:t xml:space="preserve">3.3.2 Modeling approach</w:t>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a beta regression model to estimate the relationships between organic growers' use of conventional seed and their attributes. The beta distribution is best suited for our model given that the dependent variable of conventional seed use is bounded by 0 and 1, representing the proportion of acreage. Prior to fitting the model, we transformed the data in two ways. First, the acreage proportion data was truncated by 0.001 so that observations fall within (but not equal to) the 0-1 boundaries of a beta distribution </w:t>
      </w:r>
      <w:hyperlink r:id="rId60">
        <w:r w:rsidDel="00000000" w:rsidR="00000000" w:rsidRPr="00000000">
          <w:rPr>
            <w:rFonts w:ascii="Times New Roman" w:cs="Times New Roman" w:eastAsia="Times New Roman" w:hAnsi="Times New Roman"/>
            <w:sz w:val="24"/>
            <w:szCs w:val="24"/>
            <w:vertAlign w:val="baseline"/>
            <w:rtl w:val="0"/>
          </w:rPr>
          <w:t xml:space="preserve">Rue_Martino_Chopin_2009</w:t>
        </w:r>
      </w:hyperlink>
      <w:r w:rsidDel="00000000" w:rsidR="00000000" w:rsidRPr="00000000">
        <w:rPr>
          <w:rFonts w:ascii="Times New Roman" w:cs="Times New Roman" w:eastAsia="Times New Roman" w:hAnsi="Times New Roman"/>
          <w:sz w:val="24"/>
          <w:szCs w:val="24"/>
          <w:rtl w:val="0"/>
        </w:rPr>
        <w:t xml:space="preserve">. Second, all independent variables are mean-centered and scaled for easier interpretation of coefficients. This way, the values of the coefficients represent the proportion increase in conventional seed used based on a unit change from the mean of the variable. </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We ran our analysis using the INLA package </w:t>
      </w:r>
      <w:hyperlink r:id="rId61">
        <w:r w:rsidDel="00000000" w:rsidR="00000000" w:rsidRPr="00000000">
          <w:rPr>
            <w:rFonts w:ascii="Times New Roman" w:cs="Times New Roman" w:eastAsia="Times New Roman" w:hAnsi="Times New Roman"/>
            <w:sz w:val="24"/>
            <w:szCs w:val="24"/>
            <w:vertAlign w:val="baseline"/>
            <w:rtl w:val="0"/>
          </w:rPr>
          <w:t xml:space="preserve">Rue_Martino_Chopin_2009</w:t>
        </w:r>
      </w:hyperlink>
      <w:r w:rsidDel="00000000" w:rsidR="00000000" w:rsidRPr="00000000">
        <w:rPr>
          <w:rFonts w:ascii="Times New Roman" w:cs="Times New Roman" w:eastAsia="Times New Roman" w:hAnsi="Times New Roman"/>
          <w:sz w:val="24"/>
          <w:szCs w:val="24"/>
          <w:rtl w:val="0"/>
        </w:rPr>
        <w:t xml:space="preserve"> available in R Statistical software </w:t>
      </w:r>
      <w:hyperlink r:id="rId62">
        <w:r w:rsidDel="00000000" w:rsidR="00000000" w:rsidRPr="00000000">
          <w:rPr>
            <w:rFonts w:ascii="Times New Roman" w:cs="Times New Roman" w:eastAsia="Times New Roman" w:hAnsi="Times New Roman"/>
            <w:sz w:val="24"/>
            <w:szCs w:val="24"/>
            <w:vertAlign w:val="baseline"/>
            <w:rtl w:val="0"/>
          </w:rPr>
          <w:t xml:space="preserve">Team_2023</w:t>
        </w:r>
      </w:hyperlink>
      <w:r w:rsidDel="00000000" w:rsidR="00000000" w:rsidRPr="00000000">
        <w:rPr>
          <w:rFonts w:ascii="Times New Roman" w:cs="Times New Roman" w:eastAsia="Times New Roman" w:hAnsi="Times New Roman"/>
          <w:sz w:val="24"/>
          <w:szCs w:val="24"/>
          <w:rtl w:val="0"/>
        </w:rPr>
        <w:t xml:space="preserve">. INLA uses an </w:t>
      </w:r>
      <w:r w:rsidDel="00000000" w:rsidR="00000000" w:rsidRPr="00000000">
        <w:rPr>
          <w:rFonts w:ascii="Times New Roman" w:cs="Times New Roman" w:eastAsia="Times New Roman" w:hAnsi="Times New Roman"/>
          <w:sz w:val="24"/>
          <w:szCs w:val="24"/>
          <w:rtl w:val="0"/>
        </w:rPr>
        <w:t xml:space="preserve">Integrated Nested Laplace Approximation – a deterministic Bayesian method for estimating its models. Code for analysis</w:t>
      </w:r>
      <w:r w:rsidDel="00000000" w:rsidR="00000000" w:rsidRPr="00000000">
        <w:rPr>
          <w:rFonts w:ascii="Times New Roman" w:cs="Times New Roman" w:eastAsia="Times New Roman" w:hAnsi="Times New Roman"/>
          <w:sz w:val="24"/>
          <w:szCs w:val="24"/>
          <w:rtl w:val="0"/>
        </w:rPr>
        <w:t xml:space="preserve"> is available at [</w:t>
      </w:r>
      <w:r w:rsidDel="00000000" w:rsidR="00000000" w:rsidRPr="00000000">
        <w:rPr>
          <w:rFonts w:ascii="Times New Roman" w:cs="Times New Roman" w:eastAsia="Times New Roman" w:hAnsi="Times New Roman"/>
          <w:sz w:val="24"/>
          <w:szCs w:val="24"/>
          <w:rtl w:val="0"/>
        </w:rPr>
        <w:t xml:space="preserve">github.com/liza-wood/organicseed_adoption](www.github.com/liza-wood/organicseed_adoption)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We compare several models and provide measures of model fit in </w:t>
      </w:r>
      <w:r w:rsidDel="00000000" w:rsidR="00000000" w:rsidRPr="00000000">
        <w:rPr>
          <w:rFonts w:ascii="Times New Roman" w:cs="Times New Roman" w:eastAsia="Times New Roman" w:hAnsi="Times New Roman"/>
          <w:sz w:val="24"/>
          <w:szCs w:val="24"/>
          <w:rtl w:val="0"/>
        </w:rPr>
        <w:t xml:space="preserve">Appendix 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CC">
      <w:pPr>
        <w:pStyle w:val="Heading2"/>
        <w:rPr>
          <w:rFonts w:ascii="Times New Roman" w:cs="Times New Roman" w:eastAsia="Times New Roman" w:hAnsi="Times New Roman"/>
        </w:rPr>
      </w:pPr>
      <w:bookmarkStart w:colFirst="0" w:colLast="0" w:name="_qg9zfacwu5ko" w:id="15"/>
      <w:bookmarkEnd w:id="15"/>
      <w:r w:rsidDel="00000000" w:rsidR="00000000" w:rsidRPr="00000000">
        <w:rPr>
          <w:rFonts w:ascii="Times New Roman" w:cs="Times New Roman" w:eastAsia="Times New Roman" w:hAnsi="Times New Roman"/>
          <w:rtl w:val="0"/>
        </w:rPr>
        <w:t xml:space="preserve">4. Results</w:t>
      </w:r>
    </w:p>
    <w:p w:rsidR="00000000" w:rsidDel="00000000" w:rsidP="00000000" w:rsidRDefault="00000000" w:rsidRPr="00000000" w14:paraId="000000CD">
      <w:pPr>
        <w:pStyle w:val="Heading3"/>
        <w:rPr>
          <w:rFonts w:ascii="Times New Roman" w:cs="Times New Roman" w:eastAsia="Times New Roman" w:hAnsi="Times New Roman"/>
        </w:rPr>
      </w:pPr>
      <w:bookmarkStart w:colFirst="0" w:colLast="0" w:name="_i9eebvvlyb9d" w:id="16"/>
      <w:bookmarkEnd w:id="16"/>
      <w:r w:rsidDel="00000000" w:rsidR="00000000" w:rsidRPr="00000000">
        <w:rPr>
          <w:rFonts w:ascii="Times New Roman" w:cs="Times New Roman" w:eastAsia="Times New Roman" w:hAnsi="Times New Roman"/>
          <w:rtl w:val="0"/>
        </w:rPr>
        <w:t xml:space="preserve">4.1 State of organic seed</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three time periods of our survey (2010, 2015, 2020), the mean values and their standard deviations are reported in Table 1.2. Conventional seed use has been moderately low since the inception of the organic certification. The mean proportion of organic crop acreage planted to conventional seed decreased from 43% to 32% between 2010 and 2015, then to 29% in 2020, with high standard deviations. These numbers suggest that most farmers are planting at least some organic seed, though those planting 100% organic seed represented only 21%, 27%, and 26% of growers in 2010, 2015, and 2020, respectively. </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significant barrier that growers report as limiting their organic seed sourcing is that a specific variety is not available in organic form, which is ranked greater than 3 (between moderate and significant factor) in all three survey periods. The barriers of insufficient quantity and desirable genetic traits both score an average of 2.6 (between low and moderate factor) in 2010, and those scores decrease by 2020. Buyer requirements are the least significant barrier to sourcing organic seed, but it does remain a consistent, low ranked factor over time. </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three survey periods,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growers' perceived value of </w:t>
      </w:r>
      <w:r w:rsidDel="00000000" w:rsidR="00000000" w:rsidRPr="00000000">
        <w:rPr>
          <w:rFonts w:ascii="Times New Roman" w:cs="Times New Roman" w:eastAsia="Times New Roman" w:hAnsi="Times New Roman"/>
          <w:sz w:val="24"/>
          <w:szCs w:val="24"/>
          <w:rtl w:val="0"/>
        </w:rPr>
        <w:t xml:space="preserve">organic seed as important to organic integrity has remained consistently high. In the 2010 survey, the average agreement score with the statement that organic seed is important to the integrity of organic production was 4 (somewhat important), which increased to 4.3 in 2015 and 2020. The </w:t>
      </w:r>
      <w:r w:rsidDel="00000000" w:rsidR="00000000" w:rsidRPr="00000000">
        <w:rPr>
          <w:rFonts w:ascii="Times New Roman" w:cs="Times New Roman" w:eastAsia="Times New Roman" w:hAnsi="Times New Roman"/>
          <w:sz w:val="24"/>
          <w:szCs w:val="24"/>
          <w:rtl w:val="0"/>
        </w:rPr>
        <w:t xml:space="preserve">operational profile</w:t>
      </w:r>
      <w:r w:rsidDel="00000000" w:rsidR="00000000" w:rsidRPr="00000000">
        <w:rPr>
          <w:rFonts w:ascii="Times New Roman" w:cs="Times New Roman" w:eastAsia="Times New Roman" w:hAnsi="Times New Roman"/>
          <w:sz w:val="24"/>
          <w:szCs w:val="24"/>
          <w:rtl w:val="0"/>
        </w:rPr>
        <w:t xml:space="preserve"> of organic growers matches the profile of agricultural production more generally, in that farm sizes are increasing </w:t>
      </w:r>
      <w:hyperlink r:id="rId63">
        <w:r w:rsidDel="00000000" w:rsidR="00000000" w:rsidRPr="00000000">
          <w:rPr>
            <w:rFonts w:ascii="Times New Roman" w:cs="Times New Roman" w:eastAsia="Times New Roman" w:hAnsi="Times New Roman"/>
            <w:sz w:val="24"/>
            <w:szCs w:val="24"/>
            <w:vertAlign w:val="baseline"/>
            <w:rtl w:val="0"/>
          </w:rPr>
          <w:t xml:space="preserve">Sumner_2014</w:t>
        </w:r>
      </w:hyperlink>
      <w:r w:rsidDel="00000000" w:rsidR="00000000" w:rsidRPr="00000000">
        <w:rPr>
          <w:rFonts w:ascii="Times New Roman" w:cs="Times New Roman" w:eastAsia="Times New Roman" w:hAnsi="Times New Roman"/>
          <w:sz w:val="24"/>
          <w:szCs w:val="24"/>
          <w:rtl w:val="0"/>
        </w:rPr>
        <w:t xml:space="preserve">. The average farm size over the three survey periods was 180, 275, and 346 acres. This increase is most pronounced in field and forage crops. Further, the number of crop categories planted by growers has been declining, with an average of 1.7 crop types in 2010 down to an average of 1.3 in 2020. </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certifiers and organic growers has shifted over the years, as it appears that organic certifiers are becoming less strict. When non-compliant growers (i.e. growers not already using 100% organic seed) were asked whether or not their certifier had requested they increase their organic seed use, 61% responded yes in 2010, decreasing to 56% in 2015 and 46% in 2020. This decline suggests that certifiers are becoming less insistent to ensure that growers are taking measures to source organic seed. Further, reliance on non-commercial seed sources, via seed saving and seed exchange, has decreased from 23% and 24% in 2010 and 2015 to 15% in 2020. </w:t>
      </w:r>
    </w:p>
    <w:p w:rsidR="00000000" w:rsidDel="00000000" w:rsidP="00000000" w:rsidRDefault="00000000" w:rsidRPr="00000000" w14:paraId="000000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 echo = F}</w:t>
      </w:r>
    </w:p>
    <w:p w:rsidR="00000000" w:rsidDel="00000000" w:rsidP="00000000" w:rsidRDefault="00000000" w:rsidRPr="00000000" w14:paraId="000000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table1.2 &lt;- read.csv('~/Documents/Davis/R-Projects/organicseed_adoption/tables/table2.csv') ; </w:t>
      </w:r>
    </w:p>
    <w:p w:rsidR="00000000" w:rsidDel="00000000" w:rsidP="00000000" w:rsidRDefault="00000000" w:rsidRPr="00000000" w14:paraId="000000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colnames(table1.2)[2:4] &lt;- c('2010', '2015', '2020') ; </w:t>
      </w:r>
    </w:p>
    <w:p w:rsidR="00000000" w:rsidDel="00000000" w:rsidP="00000000" w:rsidRDefault="00000000" w:rsidRPr="00000000" w14:paraId="000000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kbl(table1.2, booktabs = T, , align = c('l', rep('c', 3)),</w:t>
      </w:r>
    </w:p>
    <w:p w:rsidR="00000000" w:rsidDel="00000000" w:rsidP="00000000" w:rsidRDefault="00000000" w:rsidRPr="00000000" w14:paraId="000000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caption = 'Mean values and standard deviations (reported in pathenses) for key variables from the organic grower surveys') %&gt;% kable_styling(latex_options = "scale_down") %&gt;% row_spec(14, hline_after = T)</w:t>
      </w:r>
    </w:p>
    <w:p w:rsidR="00000000" w:rsidDel="00000000" w:rsidP="00000000" w:rsidRDefault="00000000" w:rsidRPr="00000000" w14:paraId="000000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1.2. Mean values and standard deviations (reported in pathenses) for the key variables from the organic grower survey for each time period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5.416078984485"/>
        <w:gridCol w:w="1518.194640338505"/>
        <w:gridCol w:w="1518.194640338505"/>
        <w:gridCol w:w="1518.194640338505"/>
        <w:tblGridChange w:id="0">
          <w:tblGrid>
            <w:gridCol w:w="4805.416078984485"/>
            <w:gridCol w:w="1518.194640338505"/>
            <w:gridCol w:w="1518.194640338505"/>
            <w:gridCol w:w="1518.194640338505"/>
          </w:tblGrid>
        </w:tblGridChange>
      </w:tblGrid>
      <w:tr>
        <w:trPr>
          <w:cantSplit w:val="0"/>
          <w:trHeight w:val="415" w:hRule="atLeast"/>
          <w:tblHeader w:val="0"/>
        </w:trPr>
        <w:tc>
          <w:tcPr>
            <w:tcBorders>
              <w:top w:color="000000" w:space="0" w:sz="4" w:val="single"/>
              <w:left w:color="000000" w:space="0" w:sz="0" w:val="nil"/>
              <w:bottom w:color="000000" w:space="0" w:sz="4"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Organic grower survey questions</w:t>
            </w:r>
          </w:p>
        </w:tc>
        <w:tc>
          <w:tcPr>
            <w:tcBorders>
              <w:top w:color="000000" w:space="0" w:sz="4" w:val="single"/>
              <w:left w:color="000000" w:space="0" w:sz="0" w:val="nil"/>
              <w:bottom w:color="000000" w:space="0" w:sz="4"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2010</w:t>
            </w:r>
          </w:p>
        </w:tc>
        <w:tc>
          <w:tcPr>
            <w:tcBorders>
              <w:top w:color="000000" w:space="0" w:sz="4" w:val="single"/>
              <w:left w:color="000000" w:space="0" w:sz="0" w:val="nil"/>
              <w:bottom w:color="000000" w:space="0" w:sz="4"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2015</w:t>
            </w:r>
          </w:p>
        </w:tc>
        <w:tc>
          <w:tcPr>
            <w:tcBorders>
              <w:top w:color="000000" w:space="0" w:sz="4" w:val="single"/>
              <w:left w:color="000000" w:space="0" w:sz="0" w:val="nil"/>
              <w:bottom w:color="000000" w:space="0" w:sz="4"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2020</w:t>
            </w:r>
          </w:p>
        </w:tc>
      </w:tr>
      <w:tr>
        <w:trPr>
          <w:cantSplit w:val="0"/>
          <w:trHeight w:val="126.71999999999998" w:hRule="atLeast"/>
          <w:tblHeader w:val="0"/>
        </w:trPr>
        <w:tc>
          <w:tcPr>
            <w:tcBorders>
              <w:top w:color="000000" w:space="0" w:sz="4" w:val="single"/>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Proportion of acreage planted to conventional seed</w:t>
            </w:r>
          </w:p>
        </w:tc>
        <w:tc>
          <w:tcPr>
            <w:tcBorders>
              <w:top w:color="000000" w:space="0" w:sz="4" w:val="single"/>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0.43 (0.38)</w:t>
            </w:r>
          </w:p>
        </w:tc>
        <w:tc>
          <w:tcPr>
            <w:tcBorders>
              <w:top w:color="000000" w:space="0" w:sz="4" w:val="single"/>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0.32 (0.36)</w:t>
            </w:r>
          </w:p>
        </w:tc>
        <w:tc>
          <w:tcPr>
            <w:tcBorders>
              <w:top w:color="000000" w:space="0" w:sz="4" w:val="single"/>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0.29 (0.36)</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Barrier: Organic availability</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3.55 (0.95)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3.05 (1.22)</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3.19 (1.15)</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Barrier: Insufficient quantity of organic seed</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2.62 (1.29)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2.22 (1.23)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(1.16)</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Barrier: Lack of desirable genetic traits</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2.63 (1.33)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2.15 (1.26)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2.31 (1.27)</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Barrier: Buyer requirements</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1.87 (1.26)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 (1.13)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 (1.25)</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Values organic seed</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4.03 (1.07)</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4.29 (0.96)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4.32 (0.89)</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Farm size (acres)</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181.05 (342.15)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275.16 (645.05)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346.98 (999.54)</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Vegetable Crop Acreage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27.58 (90.34)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62.79 (427.81)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 (47.81)</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Field Crop Acreage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178.21 (347.15)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259.32 (490.56)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351.51 (812.27)</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Forage Crop Acreage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98.96 (124.74)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122.03 (197.63)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172.11 (548.85)</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Crop diversity</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1.66 (0.64)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(0.6)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 (0.56)</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Certifiers request organic seed use (% yes)</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Seed saved or traded (%)</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22.54 (29.95)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23.67 (31.69)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14.63 (24.05)</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respondents (no missing data)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799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408</w:t>
            </w:r>
          </w:p>
        </w:tc>
      </w:tr>
    </w:tbl>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---&gt;</w:t>
      </w:r>
      <w:r w:rsidDel="00000000" w:rsidR="00000000" w:rsidRPr="00000000">
        <w:rPr>
          <w:rtl w:val="0"/>
        </w:rPr>
      </w:r>
    </w:p>
    <w:p w:rsidR="00000000" w:rsidDel="00000000" w:rsidP="00000000" w:rsidRDefault="00000000" w:rsidRPr="00000000" w14:paraId="0000011A">
      <w:pPr>
        <w:pStyle w:val="Heading3"/>
        <w:rPr>
          <w:rFonts w:ascii="Times New Roman" w:cs="Times New Roman" w:eastAsia="Times New Roman" w:hAnsi="Times New Roman"/>
        </w:rPr>
      </w:pPr>
      <w:bookmarkStart w:colFirst="0" w:colLast="0" w:name="_19dqk1ft11y7" w:id="17"/>
      <w:bookmarkEnd w:id="17"/>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rtl w:val="0"/>
        </w:rPr>
        <w:t xml:space="preserve">.2 Sparing those facing barriers</w:t>
      </w:r>
    </w:p>
    <w:p w:rsidR="00000000" w:rsidDel="00000000" w:rsidP="00000000" w:rsidRDefault="00000000" w:rsidRPr="00000000" w14:paraId="000001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 this section we present model results related to our first set of hypotheses, which propose that environmental policies add flexibility in order to reduce excessive burden on organic producers. We present the mean coefficient estimates and credible intervals of our model results in Figure 1.2. Full model results are available in </w:t>
      </w:r>
      <w:r w:rsidDel="00000000" w:rsidR="00000000" w:rsidRPr="00000000">
        <w:rPr>
          <w:rFonts w:ascii="Times New Roman" w:cs="Times New Roman" w:eastAsia="Times New Roman" w:hAnsi="Times New Roman"/>
          <w:sz w:val="24"/>
          <w:szCs w:val="24"/>
          <w:rtl w:val="0"/>
        </w:rPr>
        <w:t xml:space="preserve">Appendix 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four organic seed sourcing barriers facing organic growers, three have a significant positive relationship with planting conventional seed. The barriers related to organic seed variety availability, lacking desirable genetic traits, and limitations in choice via buyer requirements have effect sizes of 0.17, 0.12, and 0.12, respectively. In other words, for each unit higher that a grower ranks the barrier of organic variety availability, for example, the proportion of acreage planted to convention seed increases by a mean estimate of 0.17 (17%). This estimate is based on all other variables being held constant at their mean or baseline. So for example, these effects are calculated based on having an average farm size, number of crops, and value rating of organic seed, among other variables. The barrier related to insufficient quantity of an organic variety was not significantly related to conventional seed use. </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Regarding survey year, we find that conventional seed use significantly decreased over time. In 2015, the coefficient estimate is -0.18, suggesting that compared to the baseline data in 2010, growers are planting 18% less of their acreage to conventional seed. Likewise in 2020, growers are planting 32% less of their acreage to conventional seed. </w:t>
      </w: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 echo = F, out.width = '100%', fig.align = 'center', fig.cap = 'Coefficient estimates and credible intervals for the beta regression modeling the proportion of total acreage planted with conventional seed.'}</w:t>
      </w:r>
    </w:p>
    <w:p w:rsidR="00000000" w:rsidDel="00000000" w:rsidP="00000000" w:rsidRDefault="00000000" w:rsidRPr="00000000" w14:paraId="000001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knitr::include_graphics('~/Documents/Davis/R-Projects/organicseed_adoption/figures/figure2.png')</w:t>
      </w:r>
    </w:p>
    <w:p w:rsidR="00000000" w:rsidDel="00000000" w:rsidP="00000000" w:rsidRDefault="00000000" w:rsidRPr="00000000" w14:paraId="000001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support our first hypotheses: Conventional seed use will be highest among growers experiencing more significant organic seed sourcing barriers (H1a) and conventional seed use will decline over time (H1b). Together, they suggest that the flexibility of the organic seed policy is being used by those with the highest seed sourcing burden, and as the organic seed market develops over time, growers rely less on the seed policy exception. </w:t>
      </w:r>
    </w:p>
    <w:p w:rsidR="00000000" w:rsidDel="00000000" w:rsidP="00000000" w:rsidRDefault="00000000" w:rsidRPr="00000000" w14:paraId="00000124">
      <w:pPr>
        <w:pStyle w:val="Heading3"/>
        <w:rPr>
          <w:rFonts w:ascii="Times New Roman" w:cs="Times New Roman" w:eastAsia="Times New Roman" w:hAnsi="Times New Roman"/>
        </w:rPr>
      </w:pPr>
      <w:bookmarkStart w:colFirst="0" w:colLast="0" w:name="_7535ofnzkgky" w:id="18"/>
      <w:bookmarkEnd w:id="18"/>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rtl w:val="0"/>
        </w:rPr>
        <w:t xml:space="preserve">.3 Enabling less-principled farmers</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address our second set of hypotheses, which propose that policy flexibility enables some farmers to take advantage of the policy's leniency. A grower's rating of organic seed's value has a significant negative relationship with planting conventional seed. Our model estimates an effect size of -0.2, meaning that for every unit higher that a grower ranks the value of organic seed, the acreage planted to conventional seed decreases by 20%. All else held equal – so for example farmers who experience the same barriers and have the same farm sizes – the principled belief that organic seed is important to the integrity of organic farming has a considerable effect on how much acreage a grower plants to conventional versus organic seed.</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operational characteristics, farm size has a significant positive relationship with planting conventional seed. For every unit larger a farm is, growers plant 12% more of their acreage to conventional seed. Crop diversity has a negative relationship with planting conventional seed, with an effect size of -0.07, but credible intervals that span between -0.14 and 0.01, making this result not significant. </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support all three of our second hypotheses: Conventional seed use will be highest among those with who place low value on organic seeds' contribution to organic integrity (H2a), as well as operations that resemble a more conventional model, such as large farm size (H2b) and low-diversity (H2c). These results suggest that certain farmers' profiles – notably those that align with a "practical" organic grower – rely more on the organic seed policy exception than more "principled" organic growers. </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crop and regional controls in our model highlight considerable variation in adoption based on these different organic subsystems. Forage crop growers plant an estimated 90% more of their acreage to conventional seed compared to field crop growers, while vegetable crop growers plant an estimated 25% more. Regionally, compared to the baseline of the North Central region,  growers from both the West and the Northeast regions plant significantly more of their acreage to conventional seed, with coefficient estimates of 0.34 and 0.25, respectively. The estimate for the Southern region is also higher than the baseline (0.12), though the credible intervals of this estimate cross over zero. </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take results related to our second set of hypotheses and visualize the differences between two typified farmer profiles: practical and principled. A practical farmer profile is defined by a low value of organic seed (25th percentile), large farm size (75th percentile), and low crop diversity (25th percentile). A principled farmer profile is the opposite, characterized by a high value of organic seed (75th percentile), small farms (25th percentile), and high crop diversity (75th percentile). We calculate these profiles for each region in the United States and use the example of vegetable crops, with all other variables fixed at their median value. Using these two profiles we estimate their predicted acreage planted to conventional seed using our model.</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 visualizes model predictions of conventional seed use by hypothetical vegetable growers from these two farmer profiles across regions in the United States. From the predicted values we see a consistent difference between the two farm profiles: practical farmers rely more on the seed policy loophole, planting between 19-51% more acreage to conventional seed than principled farmers in 2010, 25-85% in 2015, and 5-23% in 2020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run these same predictions for field and forage crops (available in Appendix A) and observe equal or even greater differences between the two farm profiles over the three time periods.  </w:t>
      </w:r>
    </w:p>
    <w:p w:rsidR="00000000" w:rsidDel="00000000" w:rsidP="00000000" w:rsidRDefault="00000000" w:rsidRPr="00000000" w14:paraId="000001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 echo = F, out.width = '100%', fig.align = 'center', fig.cap = 'Predicted estimates of conventional seed use for vegetable crop growers of two farmer profiles. Estimates are made for each region of the US, represented by the different colored points (see legend). Lines connecting points help visualize the difference in predicted adoption between practical and principled growers.'}</w:t>
      </w:r>
    </w:p>
    <w:p w:rsidR="00000000" w:rsidDel="00000000" w:rsidP="00000000" w:rsidRDefault="00000000" w:rsidRPr="00000000" w14:paraId="000001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knitr::include_graphics('~/Documents/Davis/R-Projects/organicseed_adoption/figures/figure3.png')</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133">
      <w:pPr>
        <w:pStyle w:val="Heading2"/>
        <w:rPr>
          <w:rFonts w:ascii="Times New Roman" w:cs="Times New Roman" w:eastAsia="Times New Roman" w:hAnsi="Times New Roman"/>
        </w:rPr>
      </w:pPr>
      <w:bookmarkStart w:colFirst="0" w:colLast="0" w:name="_kr1o57hpms4n" w:id="19"/>
      <w:bookmarkEnd w:id="19"/>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 Discussion</w:t>
      </w:r>
    </w:p>
    <w:p w:rsidR="00000000" w:rsidDel="00000000" w:rsidP="00000000" w:rsidRDefault="00000000" w:rsidRPr="00000000" w14:paraId="00000134">
      <w:pPr>
        <w:pStyle w:val="Heading3"/>
        <w:rPr>
          <w:rFonts w:ascii="Times New Roman" w:cs="Times New Roman" w:eastAsia="Times New Roman" w:hAnsi="Times New Roman"/>
        </w:rPr>
      </w:pPr>
      <w:bookmarkStart w:colFirst="0" w:colLast="0" w:name="_z5v22828azdk" w:id="20"/>
      <w:bookmarkEnd w:id="20"/>
      <w:r w:rsidDel="00000000" w:rsidR="00000000" w:rsidRPr="00000000">
        <w:rPr>
          <w:rFonts w:ascii="Times New Roman" w:cs="Times New Roman" w:eastAsia="Times New Roman" w:hAnsi="Times New Roman"/>
          <w:rtl w:val="0"/>
        </w:rPr>
        <w:t xml:space="preserve">5.1 Flexibility in the organic standard is double-edged </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find support for both our hypotheses related to the role of environmental policy flexibility in the organic standard. The seed loophole is being used by those with the highest seed sourcing burden, as well as those with more "practical" farm profiles. These results suggest that the flexibility of the organic policy is both sparing firms from undue burden </w:t>
      </w:r>
      <w:r w:rsidDel="00000000" w:rsidR="00000000" w:rsidRPr="00000000">
        <w:rPr>
          <w:rFonts w:ascii="Times New Roman" w:cs="Times New Roman" w:eastAsia="Times New Roman" w:hAnsi="Times New Roman"/>
          <w:i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enabling free-riders. Simply put, the standard's flexibility is a double-edged sword, as pointed out by plant breeder John Navazio in an interview about the seed loophole </w:t>
      </w:r>
      <w:hyperlink r:id="rId64">
        <w:r w:rsidDel="00000000" w:rsidR="00000000" w:rsidRPr="00000000">
          <w:rPr>
            <w:rFonts w:ascii="Times New Roman" w:cs="Times New Roman" w:eastAsia="Times New Roman" w:hAnsi="Times New Roman"/>
            <w:sz w:val="24"/>
            <w:szCs w:val="24"/>
            <w:vertAlign w:val="baseline"/>
            <w:rtl w:val="0"/>
          </w:rPr>
          <w:t xml:space="preserve">Roseboro_2018</w:t>
        </w:r>
      </w:hyperlink>
      <w:commentRangeStart w:id="11"/>
      <w:r w:rsidDel="00000000" w:rsidR="00000000" w:rsidRPr="00000000">
        <w:rPr>
          <w:rFonts w:ascii="Times New Roman" w:cs="Times New Roman" w:eastAsia="Times New Roman" w:hAnsi="Times New Roman"/>
          <w:sz w:val="24"/>
          <w:szCs w:val="24"/>
          <w:rtl w:val="0"/>
        </w:rPr>
        <w:t xml:space="preserv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color w:val="444746"/>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from the organic seed case make three contributions to the conversation about environmental policy flexibility and design. First, our results point to the need for a more nuanced discussion around how to design and adjust policies to account for different motivations </w:t>
      </w:r>
      <w:hyperlink r:id="rId65">
        <w:r w:rsidDel="00000000" w:rsidR="00000000" w:rsidRPr="00000000">
          <w:rPr>
            <w:rFonts w:ascii="Times New Roman" w:cs="Times New Roman" w:eastAsia="Times New Roman" w:hAnsi="Times New Roman"/>
            <w:sz w:val="24"/>
            <w:szCs w:val="24"/>
            <w:vertAlign w:val="baseline"/>
            <w:rtl w:val="0"/>
          </w:rPr>
          <w:t xml:space="preserve">Bartel_Barclay_2011</w:t>
        </w:r>
      </w:hyperlink>
      <w:r w:rsidDel="00000000" w:rsidR="00000000" w:rsidRPr="00000000">
        <w:rPr>
          <w:rFonts w:ascii="Times New Roman" w:cs="Times New Roman" w:eastAsia="Times New Roman" w:hAnsi="Times New Roman"/>
          <w:sz w:val="24"/>
          <w:szCs w:val="24"/>
          <w:rtl w:val="0"/>
        </w:rPr>
        <w:t xml:space="preserve">. Because firms, farmers, and people generally respond to environmental policy flexibility (and stringency) differently, tools need to be designed to account for this </w:t>
      </w:r>
      <w:hyperlink r:id="rId66">
        <w:r w:rsidDel="00000000" w:rsidR="00000000" w:rsidRPr="00000000">
          <w:rPr>
            <w:rFonts w:ascii="Times New Roman" w:cs="Times New Roman" w:eastAsia="Times New Roman" w:hAnsi="Times New Roman"/>
            <w:sz w:val="24"/>
            <w:szCs w:val="24"/>
            <w:vertAlign w:val="baseline"/>
            <w:rtl w:val="0"/>
          </w:rPr>
          <w:t xml:space="preserve">Piñeiro_Arias_Dürr_Elverdin_Ibáñez_Kinengyere_Opazo_Owoo_Page_Prager_et al._2020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policy design should be iterative in order to respond to the changing dynamics of a sector. While the organic movement was pioneered by principled growers, the system has changed </w:t>
      </w:r>
      <w:hyperlink r:id="rId67">
        <w:r w:rsidDel="00000000" w:rsidR="00000000" w:rsidRPr="00000000">
          <w:rPr>
            <w:rFonts w:ascii="Times New Roman" w:cs="Times New Roman" w:eastAsia="Times New Roman" w:hAnsi="Times New Roman"/>
            <w:sz w:val="24"/>
            <w:szCs w:val="24"/>
            <w:vertAlign w:val="baseline"/>
            <w:rtl w:val="0"/>
          </w:rPr>
          <w:t xml:space="preserve">Youngberg_DeMuth_2013</w:t>
        </w:r>
      </w:hyperlink>
      <w:r w:rsidDel="00000000" w:rsidR="00000000" w:rsidRPr="00000000">
        <w:rPr>
          <w:rFonts w:ascii="Times New Roman" w:cs="Times New Roman" w:eastAsia="Times New Roman" w:hAnsi="Times New Roman"/>
          <w:sz w:val="24"/>
          <w:szCs w:val="24"/>
          <w:rtl w:val="0"/>
        </w:rPr>
        <w:t xml:space="preserve">. The number and size of organic operations have increased considerably over the past 20 years, and along with it there has been a trend towards more conventionalized models of organic production </w:t>
      </w:r>
      <w:hyperlink r:id="rId68">
        <w:r w:rsidDel="00000000" w:rsidR="00000000" w:rsidRPr="00000000">
          <w:rPr>
            <w:rFonts w:ascii="Times New Roman" w:cs="Times New Roman" w:eastAsia="Times New Roman" w:hAnsi="Times New Roman"/>
            <w:sz w:val="24"/>
            <w:szCs w:val="24"/>
            <w:vertAlign w:val="baseline"/>
            <w:rtl w:val="0"/>
          </w:rPr>
          <w:t xml:space="preserve">Darnhofer_Lindenthal_Bartel-Kratochvil_Zollitsch_2010_Guthman_2014</w:t>
        </w:r>
      </w:hyperlink>
      <w:r w:rsidDel="00000000" w:rsidR="00000000" w:rsidRPr="00000000">
        <w:rPr>
          <w:rFonts w:ascii="Times New Roman" w:cs="Times New Roman" w:eastAsia="Times New Roman" w:hAnsi="Times New Roman"/>
          <w:sz w:val="24"/>
          <w:szCs w:val="24"/>
          <w:rtl w:val="0"/>
        </w:rPr>
        <w:t xml:space="preserve">. This change calls attention to the necessary re-evaluation of the organic seed loophole, as what may have been initially enabling organic integrity at the start of the standard may now be limiting it. </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environmental policies are closely linked to a broader policy ecosystem, particularly innovation policy. The intent of the organic seed loophole's flexibility was established to allow the organic seed market time to develop </w:t>
      </w:r>
      <w:hyperlink r:id="rId69">
        <w:r w:rsidDel="00000000" w:rsidR="00000000" w:rsidRPr="00000000">
          <w:rPr>
            <w:rFonts w:ascii="Times New Roman" w:cs="Times New Roman" w:eastAsia="Times New Roman" w:hAnsi="Times New Roman"/>
            <w:sz w:val="24"/>
            <w:szCs w:val="24"/>
            <w:vertAlign w:val="baseline"/>
            <w:rtl w:val="0"/>
          </w:rPr>
          <w:t xml:space="preserve">National Organic Standards Board_2008</w:t>
        </w:r>
      </w:hyperlink>
      <w:r w:rsidDel="00000000" w:rsidR="00000000" w:rsidRPr="00000000">
        <w:rPr>
          <w:rFonts w:ascii="Times New Roman" w:cs="Times New Roman" w:eastAsia="Times New Roman" w:hAnsi="Times New Roman"/>
          <w:sz w:val="24"/>
          <w:szCs w:val="24"/>
          <w:rtl w:val="0"/>
        </w:rPr>
        <w:t xml:space="preserve">, revealing its interdependence with a wider set of innovation policies for organic seed research, development, and expansion. Recognizing these interdependencies can help build stronger policy mixes that support sustainability transitions </w:t>
      </w:r>
      <w:hyperlink r:id="rId70">
        <w:r w:rsidDel="00000000" w:rsidR="00000000" w:rsidRPr="00000000">
          <w:rPr>
            <w:rFonts w:ascii="Times New Roman" w:cs="Times New Roman" w:eastAsia="Times New Roman" w:hAnsi="Times New Roman"/>
            <w:sz w:val="24"/>
            <w:szCs w:val="24"/>
            <w:vertAlign w:val="baseline"/>
            <w:rtl w:val="0"/>
          </w:rPr>
          <w:t xml:space="preserve">Rogge_Reichardt_2016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C">
      <w:pPr>
        <w:pStyle w:val="Heading3"/>
        <w:rPr>
          <w:rFonts w:ascii="Times New Roman" w:cs="Times New Roman" w:eastAsia="Times New Roman" w:hAnsi="Times New Roman"/>
          <w:sz w:val="24"/>
          <w:szCs w:val="24"/>
        </w:rPr>
      </w:pPr>
      <w:bookmarkStart w:colFirst="0" w:colLast="0" w:name="_wsosp64lwn3f" w:id="21"/>
      <w:bookmarkEnd w:id="21"/>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.2 Reckoning with identities in sustainability transitions </w:t>
      </w: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commentRangeStart w:id="12"/>
      <w:r w:rsidDel="00000000" w:rsidR="00000000" w:rsidRPr="00000000">
        <w:rPr>
          <w:rFonts w:ascii="Times New Roman" w:cs="Times New Roman" w:eastAsia="Times New Roman" w:hAnsi="Times New Roman"/>
          <w:sz w:val="24"/>
          <w:szCs w:val="24"/>
          <w:rtl w:val="0"/>
        </w:rPr>
        <w:t xml:space="preserve">While</w:t>
      </w:r>
      <w:commentRangeEnd w:id="12"/>
      <w:r w:rsidDel="00000000" w:rsidR="00000000" w:rsidRPr="00000000">
        <w:commentReference w:id="12"/>
      </w:r>
      <w:r w:rsidDel="00000000" w:rsidR="00000000" w:rsidRPr="00000000">
        <w:rPr>
          <w:rFonts w:ascii="Times New Roman" w:cs="Times New Roman" w:eastAsia="Times New Roman" w:hAnsi="Times New Roman"/>
          <w:sz w:val="24"/>
          <w:szCs w:val="24"/>
          <w:rtl w:val="0"/>
        </w:rPr>
        <w:t xml:space="preserve"> finding the right policy design and level of flexibility is central to improving environmental outcomes </w:t>
      </w:r>
      <w:hyperlink r:id="rId71">
        <w:r w:rsidDel="00000000" w:rsidR="00000000" w:rsidRPr="00000000">
          <w:rPr>
            <w:rFonts w:ascii="Times New Roman" w:cs="Times New Roman" w:eastAsia="Times New Roman" w:hAnsi="Times New Roman"/>
            <w:sz w:val="24"/>
            <w:szCs w:val="24"/>
            <w:vertAlign w:val="baseline"/>
            <w:rtl w:val="0"/>
          </w:rPr>
          <w:t xml:space="preserve">Gunningham_Sinclair_1999</w:t>
        </w:r>
      </w:hyperlink>
      <w:r w:rsidDel="00000000" w:rsidR="00000000" w:rsidRPr="00000000">
        <w:rPr>
          <w:rFonts w:ascii="Times New Roman" w:cs="Times New Roman" w:eastAsia="Times New Roman" w:hAnsi="Times New Roman"/>
          <w:sz w:val="24"/>
          <w:szCs w:val="24"/>
          <w:rtl w:val="0"/>
        </w:rPr>
        <w:t xml:space="preserve">, there also needs to be a recognition that different motivations represent competing identities and normative views of sustainability </w:t>
      </w:r>
      <w:hyperlink r:id="rId72">
        <w:r w:rsidDel="00000000" w:rsidR="00000000" w:rsidRPr="00000000">
          <w:rPr>
            <w:rFonts w:ascii="Times New Roman" w:cs="Times New Roman" w:eastAsia="Times New Roman" w:hAnsi="Times New Roman"/>
            <w:sz w:val="24"/>
            <w:szCs w:val="24"/>
            <w:vertAlign w:val="baseline"/>
            <w:rtl w:val="0"/>
          </w:rPr>
          <w:t xml:space="preserve">Jain_Islam_Goossen_Nair_2023_Meadowcroft_2009</w:t>
        </w:r>
      </w:hyperlink>
      <w:r w:rsidDel="00000000" w:rsidR="00000000" w:rsidRPr="00000000">
        <w:rPr>
          <w:rFonts w:ascii="Times New Roman" w:cs="Times New Roman" w:eastAsia="Times New Roman" w:hAnsi="Times New Roman"/>
          <w:sz w:val="24"/>
          <w:szCs w:val="24"/>
          <w:rtl w:val="0"/>
        </w:rPr>
        <w:t xml:space="preserve">. Policies play an important role in empowering certain views on sustainability and ultimately steering the direction of a sustainability transition towards either "conforming to" or "transforming" the system </w:t>
      </w:r>
      <w:hyperlink r:id="rId73">
        <w:r w:rsidDel="00000000" w:rsidR="00000000" w:rsidRPr="00000000">
          <w:rPr>
            <w:rFonts w:ascii="Times New Roman" w:cs="Times New Roman" w:eastAsia="Times New Roman" w:hAnsi="Times New Roman"/>
            <w:sz w:val="24"/>
            <w:szCs w:val="24"/>
            <w:vertAlign w:val="baseline"/>
            <w:rtl w:val="0"/>
          </w:rPr>
          <w:t xml:space="preserve">Smith_Raven_2012</w:t>
        </w:r>
      </w:hyperlink>
      <w:r w:rsidDel="00000000" w:rsidR="00000000" w:rsidRPr="00000000">
        <w:rPr>
          <w:rFonts w:ascii="Times New Roman" w:cs="Times New Roman" w:eastAsia="Times New Roman" w:hAnsi="Times New Roman"/>
          <w:sz w:val="24"/>
          <w:szCs w:val="24"/>
          <w:rtl w:val="0"/>
        </w:rPr>
        <w:t xml:space="preserve">. Our results highlight this tension in the organic movement, between practical and principled farmers, and open up discussion about how these identities are shaping the development of the organic system. </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one hand, organic growers with more practical identities embrace a more conformist view of sustainability transitions by modeling themselves after conventional operations </w:t>
      </w:r>
      <w:hyperlink r:id="rId74">
        <w:r w:rsidDel="00000000" w:rsidR="00000000" w:rsidRPr="00000000">
          <w:rPr>
            <w:rFonts w:ascii="Times New Roman" w:cs="Times New Roman" w:eastAsia="Times New Roman" w:hAnsi="Times New Roman"/>
            <w:sz w:val="24"/>
            <w:szCs w:val="24"/>
            <w:vertAlign w:val="baseline"/>
            <w:rtl w:val="0"/>
          </w:rPr>
          <w:t xml:space="preserve">Smith_Raven_2012</w:t>
        </w:r>
      </w:hyperlink>
      <w:r w:rsidDel="00000000" w:rsidR="00000000" w:rsidRPr="00000000">
        <w:rPr>
          <w:rFonts w:ascii="Times New Roman" w:cs="Times New Roman" w:eastAsia="Times New Roman" w:hAnsi="Times New Roman"/>
          <w:sz w:val="24"/>
          <w:szCs w:val="24"/>
          <w:rtl w:val="0"/>
        </w:rPr>
        <w:t xml:space="preserve">. For example, the Cal-Organic farm has grown from a quarter of an acre of organic production to one of the nation's largest organic vegetable providers, in part due to mergers with conventional operations and an industrial supply chain connection with Whole Foods ([</w:t>
      </w:r>
      <w:r w:rsidDel="00000000" w:rsidR="00000000" w:rsidRPr="00000000">
        <w:rPr>
          <w:rFonts w:ascii="Times New Roman" w:cs="Times New Roman" w:eastAsia="Times New Roman" w:hAnsi="Times New Roman"/>
          <w:sz w:val="24"/>
          <w:szCs w:val="24"/>
          <w:rtl w:val="0"/>
        </w:rPr>
        <w:t xml:space="preserve">https://calorganicfarms.com/our-story/](https://calorganicfarms.com/our-story/</w:t>
      </w:r>
      <w:r w:rsidDel="00000000" w:rsidR="00000000" w:rsidRPr="00000000">
        <w:rPr>
          <w:rFonts w:ascii="Times New Roman" w:cs="Times New Roman" w:eastAsia="Times New Roman" w:hAnsi="Times New Roman"/>
          <w:sz w:val="24"/>
          <w:szCs w:val="24"/>
          <w:rtl w:val="0"/>
        </w:rPr>
        <w:t xml:space="preserve">)). Likewise, Bayer CropScience, one of the largest agri-chemical and seed companies in the world, has recently announced its entry into the organic seed market </w:t>
      </w:r>
      <w:hyperlink r:id="rId75">
        <w:r w:rsidDel="00000000" w:rsidR="00000000" w:rsidRPr="00000000">
          <w:rPr>
            <w:rFonts w:ascii="Times New Roman" w:cs="Times New Roman" w:eastAsia="Times New Roman" w:hAnsi="Times New Roman"/>
            <w:sz w:val="24"/>
            <w:szCs w:val="24"/>
            <w:vertAlign w:val="baseline"/>
            <w:rtl w:val="0"/>
          </w:rPr>
          <w:t xml:space="preserve">Bayer_2021</w:t>
        </w:r>
      </w:hyperlink>
      <w:r w:rsidDel="00000000" w:rsidR="00000000" w:rsidRPr="00000000">
        <w:rPr>
          <w:rFonts w:ascii="Times New Roman" w:cs="Times New Roman" w:eastAsia="Times New Roman" w:hAnsi="Times New Roman"/>
          <w:sz w:val="24"/>
          <w:szCs w:val="24"/>
          <w:rtl w:val="0"/>
        </w:rPr>
        <w:t xml:space="preserve">. This conforming model is what motivates several sustainability initiatives such as electric vehicles and off-shore wind </w:t>
      </w:r>
      <w:hyperlink r:id="rId76">
        <w:r w:rsidDel="00000000" w:rsidR="00000000" w:rsidRPr="00000000">
          <w:rPr>
            <w:rFonts w:ascii="Times New Roman" w:cs="Times New Roman" w:eastAsia="Times New Roman" w:hAnsi="Times New Roman"/>
            <w:sz w:val="24"/>
            <w:szCs w:val="24"/>
            <w:vertAlign w:val="baseline"/>
            <w:rtl w:val="0"/>
          </w:rPr>
          <w:t xml:space="preserve">Kern_Verhees_Raven_Smith_2015_Köhler_Turnheim_Hodson_2020</w:t>
        </w:r>
      </w:hyperlink>
      <w:r w:rsidDel="00000000" w:rsidR="00000000" w:rsidRPr="00000000">
        <w:rPr>
          <w:rFonts w:ascii="Times New Roman" w:cs="Times New Roman" w:eastAsia="Times New Roman" w:hAnsi="Times New Roman"/>
          <w:sz w:val="24"/>
          <w:szCs w:val="24"/>
          <w:rtl w:val="0"/>
        </w:rPr>
        <w:t xml:space="preserve">, where the focus is on altering the mainstream approach through technology substitution.</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organic growers with more principled identities tend to represent a transformative view of sustainability transitions by refusing to replicate the systems they seek to replace </w:t>
      </w:r>
      <w:hyperlink r:id="rId77">
        <w:r w:rsidDel="00000000" w:rsidR="00000000" w:rsidRPr="00000000">
          <w:rPr>
            <w:rFonts w:ascii="Times New Roman" w:cs="Times New Roman" w:eastAsia="Times New Roman" w:hAnsi="Times New Roman"/>
            <w:sz w:val="24"/>
            <w:szCs w:val="24"/>
            <w:vertAlign w:val="baseline"/>
            <w:rtl w:val="0"/>
          </w:rPr>
          <w:t xml:space="preserve">Duncan_Pascucci_2017_Smith_Raven_2012</w:t>
        </w:r>
      </w:hyperlink>
      <w:r w:rsidDel="00000000" w:rsidR="00000000" w:rsidRPr="00000000">
        <w:rPr>
          <w:rFonts w:ascii="Times New Roman" w:cs="Times New Roman" w:eastAsia="Times New Roman" w:hAnsi="Times New Roman"/>
          <w:sz w:val="24"/>
          <w:szCs w:val="24"/>
          <w:rtl w:val="0"/>
        </w:rPr>
        <w:t xml:space="preserve">. For example, Bee Heaven Farm in Florida produces mixed vegetables for direct sales on five acres, and grow out seed for use on their operation. Farms like these are asserting their ethic through initiatives like the "Real Organic" label, that oppose what is perceived as the industrial co-opting of the organic standard ([www.realorganicproject.org](</w:t>
      </w:r>
      <w:r w:rsidDel="00000000" w:rsidR="00000000" w:rsidRPr="00000000">
        <w:rPr>
          <w:rFonts w:ascii="Times New Roman" w:cs="Times New Roman" w:eastAsia="Times New Roman" w:hAnsi="Times New Roman"/>
          <w:sz w:val="24"/>
          <w:szCs w:val="24"/>
          <w:rtl w:val="0"/>
        </w:rPr>
        <w:t xml:space="preserve">www.realorganicproject.org</w:t>
      </w:r>
      <w:r w:rsidDel="00000000" w:rsidR="00000000" w:rsidRPr="00000000">
        <w:rPr>
          <w:rFonts w:ascii="Times New Roman" w:cs="Times New Roman" w:eastAsia="Times New Roman" w:hAnsi="Times New Roman"/>
          <w:sz w:val="24"/>
          <w:szCs w:val="24"/>
          <w:rtl w:val="0"/>
        </w:rPr>
        <w:t xml:space="preserve">)). This is true for some parts of the organic movement </w:t>
      </w:r>
      <w:hyperlink r:id="rId78">
        <w:r w:rsidDel="00000000" w:rsidR="00000000" w:rsidRPr="00000000">
          <w:rPr>
            <w:rFonts w:ascii="Times New Roman" w:cs="Times New Roman" w:eastAsia="Times New Roman" w:hAnsi="Times New Roman"/>
            <w:sz w:val="24"/>
            <w:szCs w:val="24"/>
            <w:vertAlign w:val="baseline"/>
            <w:rtl w:val="0"/>
          </w:rPr>
          <w:t xml:space="preserve">Youngberg_DeMuth_2013</w:t>
        </w:r>
      </w:hyperlink>
      <w:r w:rsidDel="00000000" w:rsidR="00000000" w:rsidRPr="00000000">
        <w:rPr>
          <w:rFonts w:ascii="Times New Roman" w:cs="Times New Roman" w:eastAsia="Times New Roman" w:hAnsi="Times New Roman"/>
          <w:sz w:val="24"/>
          <w:szCs w:val="24"/>
          <w:rtl w:val="0"/>
        </w:rPr>
        <w:t xml:space="preserve"> but also movements like the open source software initiative </w:t>
      </w:r>
      <w:hyperlink r:id="rId79">
        <w:r w:rsidDel="00000000" w:rsidR="00000000" w:rsidRPr="00000000">
          <w:rPr>
            <w:rFonts w:ascii="Times New Roman" w:cs="Times New Roman" w:eastAsia="Times New Roman" w:hAnsi="Times New Roman"/>
            <w:sz w:val="24"/>
            <w:szCs w:val="24"/>
            <w:vertAlign w:val="baseline"/>
            <w:rtl w:val="0"/>
          </w:rPr>
          <w:t xml:space="preserve">Jain_Islam_Goossen_Nair_2023</w:t>
        </w:r>
      </w:hyperlink>
      <w:r w:rsidDel="00000000" w:rsidR="00000000" w:rsidRPr="00000000">
        <w:rPr>
          <w:rFonts w:ascii="Times New Roman" w:cs="Times New Roman" w:eastAsia="Times New Roman" w:hAnsi="Times New Roman"/>
          <w:sz w:val="24"/>
          <w:szCs w:val="24"/>
          <w:rtl w:val="0"/>
        </w:rPr>
        <w:t xml:space="preserve">, community energy initiatives </w:t>
      </w:r>
      <w:hyperlink r:id="rId80">
        <w:r w:rsidDel="00000000" w:rsidR="00000000" w:rsidRPr="00000000">
          <w:rPr>
            <w:rFonts w:ascii="Times New Roman" w:cs="Times New Roman" w:eastAsia="Times New Roman" w:hAnsi="Times New Roman"/>
            <w:sz w:val="24"/>
            <w:szCs w:val="24"/>
            <w:vertAlign w:val="baseline"/>
            <w:rtl w:val="0"/>
          </w:rPr>
          <w:t xml:space="preserve">Seyfang_Hielscher_Hargreaves_Martiskainen_Smith_2014</w:t>
        </w:r>
      </w:hyperlink>
      <w:r w:rsidDel="00000000" w:rsidR="00000000" w:rsidRPr="00000000">
        <w:rPr>
          <w:rFonts w:ascii="Times New Roman" w:cs="Times New Roman" w:eastAsia="Times New Roman" w:hAnsi="Times New Roman"/>
          <w:sz w:val="24"/>
          <w:szCs w:val="24"/>
          <w:rtl w:val="0"/>
        </w:rPr>
        <w:t xml:space="preserve">, and Hackerlabs </w:t>
      </w:r>
      <w:hyperlink r:id="rId81">
        <w:r w:rsidDel="00000000" w:rsidR="00000000" w:rsidRPr="00000000">
          <w:rPr>
            <w:rFonts w:ascii="Times New Roman" w:cs="Times New Roman" w:eastAsia="Times New Roman" w:hAnsi="Times New Roman"/>
            <w:sz w:val="24"/>
            <w:szCs w:val="24"/>
            <w:vertAlign w:val="baseline"/>
            <w:rtl w:val="0"/>
          </w:rPr>
          <w:t xml:space="preserve">Smith_Fressoli_Abrol_Arond_Ely_2017</w:t>
        </w:r>
      </w:hyperlink>
      <w:r w:rsidDel="00000000" w:rsidR="00000000" w:rsidRPr="00000000">
        <w:rPr>
          <w:rFonts w:ascii="Times New Roman" w:cs="Times New Roman" w:eastAsia="Times New Roman" w:hAnsi="Times New Roman"/>
          <w:sz w:val="24"/>
          <w:szCs w:val="24"/>
          <w:rtl w:val="0"/>
        </w:rPr>
        <w:t xml:space="preserve">. More than just technological substitution, these movements are associated with social innovations to replace dominant institutions </w:t>
      </w:r>
      <w:hyperlink r:id="rId82">
        <w:r w:rsidDel="00000000" w:rsidR="00000000" w:rsidRPr="00000000">
          <w:rPr>
            <w:rFonts w:ascii="Times New Roman" w:cs="Times New Roman" w:eastAsia="Times New Roman" w:hAnsi="Times New Roman"/>
            <w:sz w:val="24"/>
            <w:szCs w:val="24"/>
            <w:vertAlign w:val="baseline"/>
            <w:rtl w:val="0"/>
          </w:rPr>
          <w:t xml:space="preserve">Avelino_Wittmayer_Pel_Weaver_Dumitru_Haxeltine_Kemp_Jørgensen_Bauler_Ruijsink_et al._2019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and large, environmental policies are designed in accordance with the former, conformist approach. As a result, the focus is largely on getting incentive structures right so that pro-environmental behavior and technological innovation can flourish and scale </w:t>
      </w:r>
      <w:hyperlink r:id="rId83">
        <w:r w:rsidDel="00000000" w:rsidR="00000000" w:rsidRPr="00000000">
          <w:rPr>
            <w:rFonts w:ascii="Times New Roman" w:cs="Times New Roman" w:eastAsia="Times New Roman" w:hAnsi="Times New Roman"/>
            <w:sz w:val="24"/>
            <w:szCs w:val="24"/>
            <w:vertAlign w:val="baseline"/>
            <w:rtl w:val="0"/>
          </w:rPr>
          <w:t xml:space="preserve">Prakash_Potoski_2007</w:t>
        </w:r>
      </w:hyperlink>
      <w:r w:rsidDel="00000000" w:rsidR="00000000" w:rsidRPr="00000000">
        <w:rPr>
          <w:rFonts w:ascii="Times New Roman" w:cs="Times New Roman" w:eastAsia="Times New Roman" w:hAnsi="Times New Roman"/>
          <w:sz w:val="24"/>
          <w:szCs w:val="24"/>
          <w:rtl w:val="0"/>
        </w:rPr>
        <w:t xml:space="preserve">. Yet, our results point to the coexistence of both conforming and transforming visions of sustainability transitions through the clear difference in seed sourcing behavior by practical and principled farmer profiles. Based on these findings, we propose that designing a well-balanced environmental policy needs to reckon with these multiple, sometimes competing identities. </w:t>
      </w:r>
    </w:p>
    <w:p w:rsidR="00000000" w:rsidDel="00000000" w:rsidP="00000000" w:rsidRDefault="00000000" w:rsidRPr="00000000" w14:paraId="00000144">
      <w:pPr>
        <w:pStyle w:val="Heading2"/>
        <w:rPr>
          <w:rFonts w:ascii="Times New Roman" w:cs="Times New Roman" w:eastAsia="Times New Roman" w:hAnsi="Times New Roman"/>
        </w:rPr>
      </w:pPr>
      <w:bookmarkStart w:colFirst="0" w:colLast="0" w:name="_tyavgtkyr5ah" w:id="22"/>
      <w:bookmarkEnd w:id="22"/>
      <w:r w:rsidDel="00000000" w:rsidR="00000000" w:rsidRPr="00000000">
        <w:rPr>
          <w:rFonts w:ascii="Times New Roman" w:cs="Times New Roman" w:eastAsia="Times New Roman" w:hAnsi="Times New Roman"/>
          <w:rtl w:val="0"/>
        </w:rPr>
        <w:t xml:space="preserve">6. Conclusion</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 this paper we </w:t>
      </w:r>
      <w:r w:rsidDel="00000000" w:rsidR="00000000" w:rsidRPr="00000000">
        <w:rPr>
          <w:rFonts w:ascii="Times New Roman" w:cs="Times New Roman" w:eastAsia="Times New Roman" w:hAnsi="Times New Roman"/>
          <w:sz w:val="24"/>
          <w:szCs w:val="24"/>
          <w:rtl w:val="0"/>
        </w:rPr>
        <w:t xml:space="preserve">use the case of the organic agricultural standard to understand whether flexible environmental policies spare farmers from undue burden or enable free-riding. Our focus is specifically on the seed loophole, which gives organic growers discretion to use conventional seed when organic seed is not "commercially available." We draw on three cross-sectional surveys collected over the last 15 years to understand how organic growers are using the loophole. Our results suggest that the standards' flexibility both supports growers who face the highest seed sourcing barriers, and enables free-riding by organic farmers who follow a more "conventionalized" approach. These results highlight the need for policy design that accounts for different motivations, is iterative in its understanding of how growers take advantage of the flexibility over time, and is reflexive to the types of sustainability transitions that the policy aims to support.</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US organic standard entering into its third decade, insights from this paper can support policymakers in their organic seed policy design. We conclude with recommendations related to organic seed innovation and the organic seed loophole, which need to recognize and promote both the practical and principled models of the organic label. These recommendations are inspired by the Organic Seed Alliance's </w:t>
      </w:r>
      <w:r w:rsidDel="00000000" w:rsidR="00000000" w:rsidRPr="00000000">
        <w:rPr>
          <w:rFonts w:ascii="Times New Roman" w:cs="Times New Roman" w:eastAsia="Times New Roman" w:hAnsi="Times New Roman"/>
          <w:i w:val="1"/>
          <w:sz w:val="24"/>
          <w:szCs w:val="24"/>
          <w:rtl w:val="0"/>
        </w:rPr>
        <w:t xml:space="preserve">Policy Platform for Seed</w:t>
      </w:r>
      <w:r w:rsidDel="00000000" w:rsidR="00000000" w:rsidRPr="00000000">
        <w:rPr>
          <w:rFonts w:ascii="Times New Roman" w:cs="Times New Roman" w:eastAsia="Times New Roman" w:hAnsi="Times New Roman"/>
          <w:sz w:val="24"/>
          <w:szCs w:val="24"/>
          <w:rtl w:val="0"/>
        </w:rPr>
        <w:t xml:space="preserve"> </w:t>
      </w:r>
      <w:hyperlink r:id="rId84">
        <w:r w:rsidDel="00000000" w:rsidR="00000000" w:rsidRPr="00000000">
          <w:rPr>
            <w:rFonts w:ascii="Times New Roman" w:cs="Times New Roman" w:eastAsia="Times New Roman" w:hAnsi="Times New Roman"/>
            <w:sz w:val="24"/>
            <w:szCs w:val="24"/>
            <w:vertAlign w:val="baseline"/>
            <w:rtl w:val="0"/>
          </w:rPr>
          <w:t xml:space="preserve">Organic Seed Alliance_2022</w:t>
        </w:r>
      </w:hyperlink>
      <w:r w:rsidDel="00000000" w:rsidR="00000000" w:rsidRPr="00000000">
        <w:rPr>
          <w:rFonts w:ascii="Times New Roman" w:cs="Times New Roman" w:eastAsia="Times New Roman" w:hAnsi="Times New Roman"/>
          <w:sz w:val="24"/>
          <w:szCs w:val="24"/>
          <w:rtl w:val="0"/>
        </w:rPr>
        <w:t xml:space="preserve">. Regarding innovation</w:t>
      </w:r>
      <w:r w:rsidDel="00000000" w:rsidR="00000000" w:rsidRPr="00000000">
        <w:rPr>
          <w:rFonts w:ascii="Times New Roman" w:cs="Times New Roman" w:eastAsia="Times New Roman" w:hAnsi="Times New Roman"/>
          <w:sz w:val="24"/>
          <w:szCs w:val="24"/>
          <w:rtl w:val="0"/>
        </w:rPr>
        <w:t xml:space="preserve">, policy should continue to support organic seed innovation through continued funding for research and organic variety development, as well as seed producer education and expansion. This seed innovation support should include traditional plant breeding research pipelines by companies, as well as grassroots initiatives like participatory breeding, the open-source seed initiative, and resources directed to pre-competitive agricultural needs such as climate change adaptation and minor crop development. </w:t>
      </w:r>
    </w:p>
    <w:p w:rsidR="00000000" w:rsidDel="00000000" w:rsidP="00000000" w:rsidRDefault="00000000" w:rsidRPr="00000000" w14:paraId="0000014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color w:val="2b1c35"/>
          <w:sz w:val="24"/>
          <w:szCs w:val="24"/>
        </w:rPr>
      </w:pPr>
      <w:r w:rsidDel="00000000" w:rsidR="00000000" w:rsidRPr="00000000">
        <w:rPr>
          <w:rFonts w:ascii="Times New Roman" w:cs="Times New Roman" w:eastAsia="Times New Roman" w:hAnsi="Times New Roman"/>
          <w:color w:val="2b1c35"/>
          <w:sz w:val="24"/>
          <w:szCs w:val="24"/>
          <w:rtl w:val="0"/>
        </w:rPr>
        <w:t xml:space="preserve">Regarding the seed loophole, the organic seed sourcing requirement in the organic standard should be strengthened. Organic growers should be required to demonstrate improvement in organic seed sourcing to their certifier, which has already been proposed by the NOSB </w:t>
      </w:r>
      <w:hyperlink r:id="rId85">
        <w:r w:rsidDel="00000000" w:rsidR="00000000" w:rsidRPr="00000000">
          <w:rPr>
            <w:rFonts w:ascii="Times New Roman" w:cs="Times New Roman" w:eastAsia="Times New Roman" w:hAnsi="Times New Roman"/>
            <w:color w:val="2b1c35"/>
            <w:sz w:val="24"/>
            <w:szCs w:val="24"/>
            <w:vertAlign w:val="baseline"/>
            <w:rtl w:val="0"/>
          </w:rPr>
          <w:t xml:space="preserve">National Organic Standards Board_2018</w:t>
        </w:r>
      </w:hyperlink>
      <w:r w:rsidDel="00000000" w:rsidR="00000000" w:rsidRPr="00000000">
        <w:rPr>
          <w:rFonts w:ascii="Times New Roman" w:cs="Times New Roman" w:eastAsia="Times New Roman" w:hAnsi="Times New Roman"/>
          <w:color w:val="2b1c35"/>
          <w:sz w:val="24"/>
          <w:szCs w:val="24"/>
          <w:rtl w:val="0"/>
        </w:rPr>
        <w:t xml:space="preserve">. Beyond the existing guidance, growers over certain sales or size thresholds should also be required to conduct variety trials and/or contract seed producers to grow out desired varieties using organic standards. Paired with these efforts, the US should look to the European Union's model for registering organic seed varieties in centralized databases, which is part of the effort to phase out their organic seed exceptions by 2036 </w:t>
      </w:r>
      <w:hyperlink r:id="rId86">
        <w:r w:rsidDel="00000000" w:rsidR="00000000" w:rsidRPr="00000000">
          <w:rPr>
            <w:rFonts w:ascii="Times New Roman" w:cs="Times New Roman" w:eastAsia="Times New Roman" w:hAnsi="Times New Roman"/>
            <w:color w:val="2b1c35"/>
            <w:sz w:val="24"/>
            <w:szCs w:val="24"/>
            <w:vertAlign w:val="baseline"/>
            <w:rtl w:val="0"/>
          </w:rPr>
          <w:t xml:space="preserve">Liveseed_2021</w:t>
        </w:r>
      </w:hyperlink>
      <w:r w:rsidDel="00000000" w:rsidR="00000000" w:rsidRPr="00000000">
        <w:rPr>
          <w:rFonts w:ascii="Times New Roman" w:cs="Times New Roman" w:eastAsia="Times New Roman" w:hAnsi="Times New Roman"/>
          <w:color w:val="2b1c35"/>
          <w:sz w:val="24"/>
          <w:szCs w:val="24"/>
          <w:rtl w:val="0"/>
        </w:rPr>
        <w:t xml:space="preserve">. These improvements can help certifiers more easily identify non-compliance, which if paired with increased enforcement ability, can help hold free-riders to account. </w:t>
      </w:r>
    </w:p>
    <w:p w:rsidR="00000000" w:rsidDel="00000000" w:rsidP="00000000" w:rsidRDefault="00000000" w:rsidRPr="00000000" w14:paraId="0000014A">
      <w:pPr>
        <w:rPr>
          <w:rFonts w:ascii="Times New Roman" w:cs="Times New Roman" w:eastAsia="Times New Roman" w:hAnsi="Times New Roman"/>
          <w:color w:val="2b1c35"/>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color w:val="2b1c35"/>
          <w:sz w:val="24"/>
          <w:szCs w:val="24"/>
        </w:rPr>
      </w:pPr>
      <w:r w:rsidDel="00000000" w:rsidR="00000000" w:rsidRPr="00000000">
        <w:rPr>
          <w:rFonts w:ascii="Times New Roman" w:cs="Times New Roman" w:eastAsia="Times New Roman" w:hAnsi="Times New Roman"/>
          <w:color w:val="2b1c35"/>
          <w:sz w:val="24"/>
          <w:szCs w:val="24"/>
          <w:rtl w:val="0"/>
        </w:rPr>
        <w:t xml:space="preserve">Ultimately, strengthening the organic seed requirement should lead to an eventual closing of the seed loophole to support organic seed innovation and maintain the integrity of the organic label. These policy changes, however, should be developed in a way that recognizes the different identities of organic growers. </w:t>
      </w:r>
      <w:r w:rsidDel="00000000" w:rsidR="00000000" w:rsidRPr="00000000">
        <w:rPr>
          <w:rFonts w:ascii="Times New Roman" w:cs="Times New Roman" w:eastAsia="Times New Roman" w:hAnsi="Times New Roman"/>
          <w:sz w:val="24"/>
          <w:szCs w:val="24"/>
          <w:rtl w:val="0"/>
        </w:rPr>
        <w:t xml:space="preserve">In this way, the appropriate mix of environmental and innovation policies are designed with an eye for supporting diverse sustainability transition pathways. </w:t>
      </w:r>
      <w:r w:rsidDel="00000000" w:rsidR="00000000" w:rsidRPr="00000000">
        <w:rPr>
          <w:rtl w:val="0"/>
        </w:rPr>
      </w:r>
    </w:p>
    <w:p w:rsidR="00000000" w:rsidDel="00000000" w:rsidP="00000000" w:rsidRDefault="00000000" w:rsidRPr="00000000" w14:paraId="0000014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pStyle w:val="Heading1"/>
        <w:rPr>
          <w:rFonts w:ascii="Times New Roman" w:cs="Times New Roman" w:eastAsia="Times New Roman" w:hAnsi="Times New Roman"/>
        </w:rPr>
      </w:pPr>
      <w:bookmarkStart w:colFirst="0" w:colLast="0" w:name="_ejvkvi812agw" w:id="23"/>
      <w:bookmarkEnd w:id="23"/>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87">
        <w:r w:rsidDel="00000000" w:rsidR="00000000" w:rsidRPr="00000000">
          <w:rPr>
            <w:vertAlign w:val="baseline"/>
            <w:rtl w:val="0"/>
          </w:rPr>
          <w:t xml:space="preserve"> @article{Ambec_Cohen_Elgie_Lanoie_2013, title={The Porter Hypothesis at 20: Can Environmental Regulation Enhance                         Innovation and Competitiveness?}, volume={7}, ISSN={1750-6816}, DOI={10.1093/reep/res016}, abstractNote={Some twenty years ago, Harvard Business School economist and strategy professor Michael Porter challenged conventional wisdom about the impact of environmental regulation on business by declaring that well-designed regulation could actually enhance competitiveness. The traditional view of environmental regulation held by virtually all economists until that time was that requiring firms to reduce an externality like pollution necessarily restricted their options and thus by definition reduced their profits. After all, if profitable opportunities existed to reduce pollution, profit-maximizing firms would already be taking advantage of them. Over the past twenty years, much has been written about what has since become known simply as the Porter Hypothesis. Yet even today, we continue to find conflicting evidence concerning the Porter Hypothesis, alternative theories that might explain it, and oftentimes a misunderstanding of what the Porter Hypothesis does and does not say. This article examines the key theoretical foundations and empirical evidence concerning the Porter Hypothesis, discusses its implications for the design of environmental regulations, and outlines directions for future research on the relationship between environmental regulation, innovation, and competitiveness.}, number={1}, journal={Review of Environmental Economics and Policy}, publisher={The University of Chicago Press}, author={Ambec, Stefan and Cohen, Mark A. and Elgie, Stewart and Lanoie, Paul}, year={2013}, month={Jan}, pages={2–22} }</w:t>
        </w:r>
      </w:hyperlink>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88">
        <w:r w:rsidDel="00000000" w:rsidR="00000000" w:rsidRPr="00000000">
          <w:rPr>
            <w:vertAlign w:val="baseline"/>
            <w:rtl w:val="0"/>
          </w:rPr>
          <w:t xml:space="preserve"> @article{Avelino_Wittmayer_Pel_Weaver_Dumitru_Haxeltine_Kemp_Jørgensen_Bauler_Ruijsink_et al._2019, title={Transformative social innovation and (dis)empowerment}, volume={145}, ISSN={0040-1625}, DOI={10.1016/j.techfore.2017.05.002}, abstractNote={This article responds to increasing public and academic discourses on social innovation, which often rest on the assumption that social innovation can drive societal change and empower actors to deal with societal challenges and a retreating welfare state. In order to scrutinise this assumption, this article proposes a set of concepts to study the dynamics of transformative social innovation and underlying processes of multi-actor (dis)empowerment. First, the concept of transformative social innovation is unpacked by proposing four foundational concepts to help distinguish between different pertinent ‘shades’ of change and innovation: 1) social innovation, (2) system innovation, (3) game-changers, and (4) narratives of change. These concepts, invoking insights from transitions studies and social innovations literature, are used to construct a conceptual account of how transformative social innovation emerges as a co-evolutionary interaction between diverse shades of change and innovation. Second, the paper critically discusses the dialectic nature of multi-actor (dis)empowerment that underlies such processes of change and innovation. The paper then demonstrates how the conceptualisations are applied to three empirical case-studies of transformative social innovation: Impact Hub, Time Banks and Credit Unions. In the conclusion we synthesise how the concepts and the empirical examples help to understand contemporary shifts in societal power relations and the changing role of the welfare state.}, journal={Technological Forecasting and Social Change}, author={Avelino, Flor and Wittmayer, Julia M. and Pel, Bonno and Weaver, Paul and Dumitru, Adina and Haxeltine, Alex and Kemp, René and Jørgensen, Michael S. and Bauler, Tom and Ruijsink, Saskia and O’Riordan, Tim}, year={2019}, month={Aug}, pages={195–206} }</w:t>
        </w:r>
      </w:hyperlink>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89">
        <w:r w:rsidDel="00000000" w:rsidR="00000000" w:rsidRPr="00000000">
          <w:rPr>
            <w:vertAlign w:val="baseline"/>
            <w:rtl w:val="0"/>
          </w:rPr>
          <w:t xml:space="preserve"> @article{Barreiro-Hurle_Dessart_Rommel_Czajkowski_Espinosa-Goded_Rodriguez-Entrena_Thomas_Zagorska_2023, title={Willing or complying? The delicate interplay between voluntary and mandatory interventions to promote farmers’ environmental behavior}, volume={120}, ISSN={0306-9192}, DOI={10.1016/j.foodpol.2023.102481}, abstractNote={Agri-environmental policies generally build around two complementary approaches: mandatory requirements and (compensated) voluntary measures. One of the challenges of the future EU Common Agricultural Policy is precisely to find the right balance between these two types of interventions. We conducted an experiment with farmers in three EU Member States to assess the impact of (1) increasing mandatory contributions to the environment, and of (2) decreasing unconditional income support. We also assess the effect of two key behavioural factors: environmental concern and trait reactance. Results show that both interventions reduce voluntary contributions to the environment, but the reduction is higher when mandatory contributions increase than when income decreases.. However, when mandatory contribution increases substantially, this more than offsets the reduction of voluntary contributions, leading to higher total contributions.}, journal={Food Policy}, author={Barreiro-Hurle, Jesus and Dessart, Francois J. and Rommel, Jens and Czajkowski, Mikołaj and Espinosa-Goded, Maria and Rodriguez-Entrena, Macario and Thomas, Fabian and Zagorska, Katarzyna}, year={2023}, month={Oct}, pages={102481} }</w:t>
        </w:r>
      </w:hyperlink>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90">
        <w:r w:rsidDel="00000000" w:rsidR="00000000" w:rsidRPr="00000000">
          <w:rPr>
            <w:vertAlign w:val="baseline"/>
            <w:rtl w:val="0"/>
          </w:rPr>
          <w:t xml:space="preserve"> @article{Bartel_Barclay_2011, title={Motivational postures and compliance with environmental law in Australian agriculture}, volume={27}, ISSN={0743-0167}, DOI={10.1016/j.jrurstud.2010.12.004}, abstractNote={Motivational posture theory is applied and extended to the context of Australian agriculture and environmental regulation. Regulatory failure in this area has been observed but little was known of the compliance attitudes and behaviours of farmers prior to this study. Agriculture covers over 60% of Australia’s land surface so this information is vital if environmental sustainability is to be achieved. A mail survey of 5235 farmers across Australia was conducted to examine motivational postures and attitudes to government, environmental problems, environmental laws and regulations and farm management behaviours. Four postures are empirically derived: one associated with compliance, here labelled “Aligned”, and three associated with non- or creative compliance: one Disengaged, one Game playing and one Resistant. Analysis of the characteristics of each group demonstrates that motivational postures are related to place, jurisdiction and degree of regulatory alignment: the degree of agreement between regulatees and regulators on the latter’s role and on the content, process and aims of regulatory interventions. Game players eschew a role for government. The Aligned support both government and regulations. Postures were predictive of beyond compliance behaviour. The Aligned were more likely to undertake beyond compliance behaviours and Game players least likely. Fiscal limitations were identified as restricting beyond compliance behaviours by many farmers. Environmental regulations are often contentious and therefore these findings may be helpful to authorities to more effectively engender compliance so that on-ground outcomes may be secured.}, number={2}, journal={Journal of Rural Studies}, author={Bartel, Robyn and Barclay, Elaine}, year={2011}, month={Apr}, pages={153–170} }</w:t>
        </w:r>
      </w:hyperlink>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91">
        <w:r w:rsidDel="00000000" w:rsidR="00000000" w:rsidRPr="00000000">
          <w:rPr>
            <w:vertAlign w:val="baseline"/>
            <w:rtl w:val="0"/>
          </w:rPr>
          <w:t xml:space="preserve"> @misc{Bayer_2021, title={Bayer to launch organic vegetable seeds portfolio enabling greater access to certified organic market}, url={https://www.vegetables.bayer.com/us/en-us/resources/news/bayer-to-launch-organic-vegetable-seeds-portfolio.html}, author={Bayer}, year={2021} }</w:t>
        </w:r>
      </w:hyperlink>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92">
        <w:r w:rsidDel="00000000" w:rsidR="00000000" w:rsidRPr="00000000">
          <w:rPr>
            <w:vertAlign w:val="baseline"/>
            <w:rtl w:val="0"/>
          </w:rPr>
          <w:t xml:space="preserve"> @article{Brännlund_Lundgren_2009, title={Environmental Policy Without Costs? A Review of the Porter Hypothesis}, volume={3}, DOI={10.1561/101.00000020}, abstractNote={This paper reviews the theoretical and empirical literature connected to the so called Porter Hypothesis. That is, to review the literature connected to the discussion about the relation between environmental policy and competitiveness. According to the conventional wisdom environmental policy, aiming for improving the environment through for example emission reductions, do imply costs since scarce resources must be diverted from somewhere else. However, this conventional wisdom has been challenged and questioned recently through what has been denoted the “Porter hypothesis”. Those in the forefront of the Porter hypothesis challenge the conventional wisdom basically on the ground that resources are used inefficiently in the absence of the right kind of environmental regulations, and that the conventional neo-classical view is too static to take inefficiencies into account. The conclusions that can be made from this review is (1) that the theoretical literature can identify the circumstances and mechanisms that must exist for a Porter effect to occur, (2) that these circumstances are rather non-general, hence rejecting the Porter hypothesis in general, (3) that the empirical literature give no general support for the Porter hypothesis. Furthermore, a closer look at the “Swedish case” reveals no support for the Porter hypothesis in spite of the fact that Swedish environmental policy the last 15-20 years seems to be in line the prerequisites stated by the Porter hypothesis concerning environmental policy.}, journal={Sustainable Investment Research Platform, Sustainable Investment and Corporate Governance Working Papers}, author={Brännlund, Runar and Lundgren, Tommy}, year={2009}, month={Sep} }</w:t>
        </w:r>
      </w:hyperlink>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93">
        <w:r w:rsidDel="00000000" w:rsidR="00000000" w:rsidRPr="00000000">
          <w:rPr>
            <w:vertAlign w:val="baseline"/>
            <w:rtl w:val="0"/>
          </w:rPr>
          <w:t xml:space="preserve"> @article{Brown_Kovács_Herzon_Villamayor-Tomas_Albizua_Galanaki_Grammatikopoulou_McCracken_Olsson_Zinngrebe_2021, title={Simplistic understandings of farmer motivations could undermine the environmental potential of the common agricultural policy}, volume={101}, ISSN={0264-8377}, DOI={10.1016/j.landusepol.2020.105136}, abstractNote={The European Union Common Agricultural Policy (CAP) has failed to achieve its aim of preserving European farmland biodiversity, despite massive investment in subsidies to incentivise environmentally-beneficial farming practices. This failure calls into question the design of the subsidy schemes, which are intended to either function as a safety net and make farming profitable or compensate farmers for costs and loss of income while undertaking environmental management. In this study, we assess whether the design of environmental payments in the CAP reflects current knowledge about farmers’ decision-making as found in the research literature. We do so on the basis of a comprehensive literature review on farmers’ uptake of agri-environmental management practices over the past 10 years and interviews specifically focused on Ecological Focus Areas with policy-makers, advisors and farmers in seven European countries. We find that economic and structural factors are the most commonly-identified determinants of farmers’ adoption of environmental management practices in the literature and in interviews. However, the literature suggests that these are complemented by – and partially dependent on – a broad range of social, attitudinal and other contextual factors that are not recognised in interview responses or, potentially, in policy design. The relatively simplistic conceptualisation of farmer behaviour that underlies some aspects of policy design may hamper the effectiveness of environmental payments in the CAP by over-emphasising economic considerations, potentially corroding farmer attitudes to policy and environmental objectives. We conclude that an urgent redesign of agricultural subsidies is needed to better align them with the economic, social and environmental factors affecting farmer decision-making in a complex production climate, and therefore to maximise potential environmental benefits.}, journal={Land Use Policy}, author={Brown, Calum and Kovács, Eszter and Herzon, Irina and Villamayor-Tomas, Sergio and Albizua, Amaia and Galanaki, Antonia and Grammatikopoulou, Ioanna and McCracken, Davy and Olsson, Johanna Alkan and Zinngrebe, Yves}, year={2021}, month={Feb}, pages={105136} }</w:t>
        </w:r>
      </w:hyperlink>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94">
        <w:r w:rsidDel="00000000" w:rsidR="00000000" w:rsidRPr="00000000">
          <w:rPr>
            <w:vertAlign w:val="baseline"/>
            <w:rtl w:val="0"/>
          </w:rPr>
          <w:t xml:space="preserve"> @book{Buttel_Jr_Larson_1990, address={New York}, edition={y First printing edition}, title={The Sociology of Agriculture:}, ISBN={978-0-313-26444-3}, abstractNote={Published to commemorate the 50th anniversary of the Rural Sociological Society, this monograph analyzes the nearly 90 years of rural sociological research on agriculture and provides a comprehensive overview of changing research focuses and theoretical approaches. As the authors note at the outset, there are a good number of continuities between early-20th-century rural sociology and what is now called the sociology of agriculture. There are also, they note, very substantial differences between contemporary sociology of agriculture scholarship and that which preceded it. Their aim throughout is to convey both continuities and discontinuities in theory, method, and approach. Intended primarily as a straightforward exposition of major scholarly themes, the volume is designed to be useful to readers from a variety of theoretical persuasions. The authors do, however, point to areas of weakness in theoretical or methodological approach that should be addressed in future research.The volume is organized around the three major eras of rural sociological conceptualizations of agriculture. The authors begin by examining the founding of U.S. rural sociology shortly after the turn of the century until the early 1950s, demonstrating that during this initial era the study of agriculture was largely construed as one of the many elements necessary for understanding the social fabric of rural community life. In the next section, they explore the social psychological/behaviorist tradition, which held sway from the early 1950s through the early 1970s and which conceptualized farmers as actors responding to stimuli such as new technologies and educational opportunities. The three chapters devoted to recent research in the emerging tradition of the new rural sociology address such topics as the political economy of agriculture, the environment of agriculture, and major theoretical trends in the sociology of agriculture. In their concluding chapter, the authors look toward the future of the sociology of agriculture and identify some potential problems as we move into the 1990s.}, publisher={Praeger}, author={Buttel, Frederick H. and Jr, Gilbert W. Gillespie and Larson, Olaf F.}, year={1990}, month={Feb}, language={English} }</w:t>
        </w:r>
      </w:hyperlink>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95">
        <w:r w:rsidDel="00000000" w:rsidR="00000000" w:rsidRPr="00000000">
          <w:rPr>
            <w:vertAlign w:val="baseline"/>
            <w:rtl w:val="0"/>
          </w:rPr>
          <w:t xml:space="preserve"> @article{Carter_Adams_Wright_Scott_2022, title={Appraising the administrative burden of USDA organic certification: A descriptive analysis of Notice of Noncompliance data}, volume={11}, rights={Copyright (c) 2022 David P. Carter, Ian T. Adams, Seth Wright, Tyler A. Scott}, ISSN={2152-0801}, DOI={10.5304/jafscd.2022.112.020}, abstractNote={Many of the challenges organic producers and pro­cessors experience are caused by how organic standards compliance is monitored and enforced—in particular, the administrative procedures that are mandated to verify that operation practices meet organic certification requirements. In this policy analysis, we examine noncompliance documenta­tion and verification by accredited certifiers under the U.S. Department of Agriculture (USDA). Lev­eraging a novel and unique compilation of “Notice of Noncompliance” letters issued to organic pro­ducers and processors, we find a preponderance of administrative violations, relative to substantive ones. We discuss how the finding may help explain contemporary transformations in the organic mar­ket, as larger agri-food entities’ capacity to absorb the administrative costs that frustrate smaller oper­ations may contribute to organic market “conven­tionalization” and consolidation.}, number={22}, journal={Journal of Agriculture, Food Systems, and Community Development}, author={Carter, David and Adams, Ian and Wright, Seth and Scott, Tyler}, year={2022}, month={Mar}, pages={235–242}, language={en} }</w:t>
        </w:r>
      </w:hyperlink>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96">
        <w:r w:rsidDel="00000000" w:rsidR="00000000" w:rsidRPr="00000000">
          <w:rPr>
            <w:vertAlign w:val="baseline"/>
            <w:rtl w:val="0"/>
          </w:rPr>
          <w:t xml:space="preserve"> @article{Cole_2004, title={Trade, the pollution haven hypothesis and the environmental Kuznets curve: examining the linkages}, volume={48}, ISSN={0921-8009}, DOI={10.1016/j.ecolecon.2003.09.007}, abstractNote={This paper examines the extent to which the EKC inverted U relationship can be explained by trade and specifically the migration or displacement of ‘dirty’ industries from the developed regions to the developing regions (the pollution haven hypothesis (PHH)). Using detailed data on North–South trade flows for pollution intensive products the evidence for the PHH is assessed. Emissions of 10 air and water pollutants are then estimated, controlling for trade openness, structural change and ‘dirty’ North–South trade flows. Evidence of pollution haven effects is found, although such effects do not appear to be widespread and appear to be relatively small compared to the roles played other explanatory variables.}, number={1}, journal={Ecological Economics}, author={Cole, Matthew A}, year={2004}, month={Jan}, pages={71–81} }</w:t>
        </w:r>
      </w:hyperlink>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97">
        <w:r w:rsidDel="00000000" w:rsidR="00000000" w:rsidRPr="00000000">
          <w:rPr>
            <w:vertAlign w:val="baseline"/>
            <w:rtl w:val="0"/>
          </w:rPr>
          <w:t xml:space="preserve"> @article{Coleman_2001, title={The Benefits of Growing Organic Food}, url={https://www.motherearthnews.com/real-food/benefits-of-growing-organic-food-zmaz01djzgoe/}, journal={Mother Earth News}, author={Coleman, Eliot}, year={2001} }</w:t>
        </w:r>
      </w:hyperlink>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98">
        <w:r w:rsidDel="00000000" w:rsidR="00000000" w:rsidRPr="00000000">
          <w:rPr>
            <w:vertAlign w:val="baseline"/>
            <w:rtl w:val="0"/>
          </w:rPr>
          <w:t xml:space="preserve"> @phdthesis{Colley_2022, title={Critical experiences in participatory approaches to build up organic plant breeding and seed systems}, url={https://research.wur.nl/en/publications/09218969-dc06-4fe9-91af-db058becaa3b}, DOI={10.18174/578477}, school={Wageningen University}, author={Colley, Micaela Ruth}, year={2022}, month={Nov}, language={en} }</w:t>
        </w:r>
      </w:hyperlink>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99">
        <w:r w:rsidDel="00000000" w:rsidR="00000000" w:rsidRPr="00000000">
          <w:rPr>
            <w:vertAlign w:val="baseline"/>
            <w:rtl w:val="0"/>
          </w:rPr>
          <w:t xml:space="preserve"> @article{Daloğlu_Nassauer_Riolo_Scavia_2014, title={Development of a farmer typology of agricultural conservation behavior in the American Corn Belt}, volume={129}, ISSN={0308521X}, DOI={10.1016/j.agsy.2014.05.007}, journal={Agricultural Systems}, author={Daloğlu, Irem and Nassauer, Joan Iverson and Riolo, Rick L. and Scavia, Donald}, year={2014}, month={Jul}, pages={93–102} }</w:t>
        </w:r>
      </w:hyperlink>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00">
        <w:r w:rsidDel="00000000" w:rsidR="00000000" w:rsidRPr="00000000">
          <w:rPr>
            <w:vertAlign w:val="baseline"/>
            <w:rtl w:val="0"/>
          </w:rPr>
          <w:t xml:space="preserve"> @article{Darnhofer_Lindenthal_Bartel-Kratochvil_Zollitsch_2010, title={Conventionalisation of organic farming practices: from structural criteria towards an assessment based on organic principles. A review}, volume={30}, DOI={10.1051/agro/2009011}, abstractNote={Organic farming is widely perceived as being more environmentally friendly than conventional farming. As a form of sustainable agriculture, it receives substantial support from policy for its contribution to environmental protection as well as the provision of amenities such as biodiversity and cultural landscapes. Consumers are attracted to organic foods as they are produced without synthetic chemicals and comply with higher animal welfare standards. Although organic farming certainly has the potential to fulfil these expectations, studies have shown that some certified organic farms do not. Their practices comply with the regulations, but not with the principles of organic farming. This trend has been called “conventionalisation” of organic farming. In this paper we review the studies that discuss the conventionalisation of organic farming, focusing on the farm level and on evidence from Europe. We argue that to strengthen organic farming’s transformative potential, the debate must move beyond its focus on the bifurcation between artisanal and conventionalised organic farms, so as to capture the full range of empirical heterogeneity. Our core argument is that to adequately understand the dynamics within organic farming and their potential impact on the ability of organic farming to fulfil the expectations of consumers and policy-makers, it is not sufficient to focus on structural changes. Instead, we need to assess whether or not the observed changes comply with the principles and values that are the fundament of organic farming. organic agriculture / conventionalisation debate / Europe / plant production / animal husbandry}, journal={Agron. Sustain. Dev}, publisher={EDP Sciences}, author={Darnhofer, Ika and Lindenthal, Thomas and Bartel-Kratochvil, Ruth and Zollitsch, Werner}, year={2010}, pages={67–81} }</w:t>
        </w:r>
      </w:hyperlink>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01">
        <w:r w:rsidDel="00000000" w:rsidR="00000000" w:rsidRPr="00000000">
          <w:rPr>
            <w:vertAlign w:val="baseline"/>
            <w:rtl w:val="0"/>
          </w:rPr>
          <w:t xml:space="preserve"> @article{Dawson_Rivière_Berthellot_Mercier_Kochko_Galic_Pin_Serpolay_Thomas_Giuliano_et al._2011, title={Collaborative Plant Breeding for Organic Agricultural Systems in Developed Countries}, volume={3}, ISSN={2071-1050}, DOI={10.3390/su3081206}, abstractNote={Because organic systems present complex environmental stress, plant breeders may either target very focused regions for different varieties, or create heterogeneous populations which can then evolve specific adaptation through on-farm cultivation and selection. This often leads to participatory plant breeding (PPB) strategies which take advantage of the specific knowledge of farmers. Participatory selection requires increased commitment and engagement on the part of the farmers and researchers. Projects may begin as researcher initiatives with farmer participation or farmer initiatives with researcher participation and over time evolve into true collaborations. These projects are difficult to plan in advance because by nature they change to respond to the priorities and interests of the collaborators. Projects need to provide relevant information and analysis in a time-frame that is meaningful for farmers, while remaining scientifically rigorous and innovative. This paper presents two specific studies: the first was a researcher-designed experiment that assessed the potential adaptation of landraces to organic systems through on-farm cultivation and farmer selection. The second is a farmer-led plant breeding project to select bread wheat for organic systems in France. Over the course of these two projects, many discussions among farmers, researchers and farmers associations led to the development of methods that fit the objectives of those involved. This type of project is no longer researcher-led or farmer-led but instead an equal collaboration. Results from the two research projects and the strategy developed for an ongoing collaborative plant breeding project are discussed.}, number={8}, journal={Sustainability}, publisher={Molecular Diversity Preservation International}, author={Dawson, Julie C. and Rivière, Pierre and Berthellot, Jean-François and Mercier, Florent and Kochko, Patrick de and Galic, Nathalie and Pin, Sophie and Serpolay, Estelle and Thomas, Mathieu and Giuliano, Simon and Goldringer, Isabelle and Dawson, Julie C. and Rivière, Pierre and Berthellot, Jean-François and Mercier, Florent and Kochko, Patrick de and Galic, Nathalie and Pin, Sophie and Serpolay, Estelle and Thomas, Mathieu and Giuliano, Simon and Goldringer, Isabelle}, year={2011}, month={Aug}, pages={1206–1223} }</w:t>
        </w:r>
      </w:hyperlink>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02">
        <w:r w:rsidDel="00000000" w:rsidR="00000000" w:rsidRPr="00000000">
          <w:rPr>
            <w:vertAlign w:val="baseline"/>
            <w:rtl w:val="0"/>
          </w:rPr>
          <w:t xml:space="preserve"> @book{Dillon_Hubbard_2011, address={Port Townsend, WA}, title={State of Organic Seed, 2011}, institution={Organic Seed Allaince}, author={Dillon, Matthew and Hubbard, Kiki}, year={2011} }</w:t>
        </w:r>
      </w:hyperlink>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03">
        <w:r w:rsidDel="00000000" w:rsidR="00000000" w:rsidRPr="00000000">
          <w:rPr>
            <w:vertAlign w:val="baseline"/>
            <w:rtl w:val="0"/>
          </w:rPr>
          <w:t xml:space="preserve"> @article{Duncan_Pascucci_2017, title={Mapping the Organisational Forms of Networks of Alternative Food Networks: Implications for Transition}, volume={57}, ISSN={1467-9523}, DOI={10.1111/soru.12167}, abstractNote={In response to the failures of the dominant agro-food regime multiple practices for transition towards more environmentally and socially sustainable food systems have been proposed and put into practice by Alternative Food Networks (AFNs). To advance societal transitions, some AFNs have employed a strategy of developing broader networks. These network of networks, take various forms. To date, the ways in which networks of AFNs organise remains understudied, yet how they organise is likely to influence the transition pathways they advance. Drawing on organisation theory we propose a typology of organisational forms for networks of AFNs. We theorise that networks of AFNS that adopt organisational forms that are isomorphic to the dominant food regime may have their practices adopted, but that these risk co-option and dilution. Networks of AFNs that organise around polymorphic organisational forms are less likely to see their practices integrated at the dominant regime level, but their practices could have a more fundamental transformative impact.}, number={3}, journal={Sociologia Ruralis}, author={Duncan, Jessica and Pascucci, Stefano}, year={2017}, pages={316–339}, language={en} }</w:t>
        </w:r>
      </w:hyperlink>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04">
        <w:r w:rsidDel="00000000" w:rsidR="00000000" w:rsidRPr="00000000">
          <w:rPr>
            <w:vertAlign w:val="baseline"/>
            <w:rtl w:val="0"/>
          </w:rPr>
          <w:t xml:space="preserve"> @article{DuPuis_Gillon_2009, title={Alternative modes of governance: organic as civic engagement}, volume={26}, ISSN={1572-8366}, DOI={10.1007/s10460-008-9180-7}, abstractNote={A major strategy in the creation of sustainable economies is the establishment of alternative market institutions, such as fair trade and local market systems. However, the dynamics of these alternative markets are poorly understood. What are the rules of behavior by which these markets function? How do these markets maintain their separate identity as “alternative”: apart from the conventional (“free”) market system? Building on Lyson’s notion of civic agriculture, we argue that alternative markets maintain themselves through civic engagement. However, we argue that the civically-engaged practices of alternative markets are poorly understood. We seek, therefore, to begin a conversation about the everyday forms of civic engagement in alternative practice and to do this we introduce a few useful conceptual tools. Building upon ideas in science studies about the collaboration of scientists (Hess, Alternative pathways in science and industry, 2007) we argue that civic markets have their own “market fields” and “modes of governance” (Bulkeley et al., Environment and Planning A 39:2733–2753, 2007), their own fields of social interaction in which rules of behavior become stabilized and determine how the market works. The creation of a social field also requires the demarcation of boundaries, referred to in the science studies literature as “boundary work” (Gieryn, Cultural boundaries of science: Credibility on the line, 1999). We apply the idea of boundary work to understand how alternative market actors maintain boundaries between alternative and conventional markets. Finally, studies of collaboration in science have often centered on the object created through these interactions, an object that is partially material and partially a product of knowledge, what (Rheinberger, Toward a history of epistemic things: Synthesizing proteins in the test tube, 1997) calls an “epistemic object.” We use this idea to understand that the creation of alternative objects of exchange, such as organic food, are epistemic objects in that they combine both particular materialities and particular ways of knowing. Using these concepts, we will carry out a close analysis of the mode of governance in the national organic market, looking specifically a recent governance crisis in organic agriculture known as the Harvey lawsuit.}, number={1}, journal={Agriculture and Human Values}, author={DuPuis, E. Melanie and Gillon, Sean}, year={2009}, month={Mar}, pages={43–56}, language={en} }</w:t>
        </w:r>
      </w:hyperlink>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05">
        <w:r w:rsidDel="00000000" w:rsidR="00000000" w:rsidRPr="00000000">
          <w:rPr>
            <w:vertAlign w:val="baseline"/>
            <w:rtl w:val="0"/>
          </w:rPr>
          <w:t xml:space="preserve"> @article{Endres_Andrade Laborde_Bohn_Formiga_Goldstein_Marriott_Ugarte_Wander_2022, title={Influence of the Seed Loophole and Bottleneck on Quantity and Quality of Organic Maize Seed in the U.S. Midwest}, volume={4}, ISSN={2673-3218}, url={https://www.frontiersin.org/articles/10.3389/fagro.2022.763974}, abstractNote={A case study in the U.S. Midwest explored factors likely to be limiting organic maize, aka corn seed quality and quantity. We sought to learn about the influence of the regulatory loophole which allows use of conventionally produced, untreated, non-GMO seed for organic production when an organic equivalent is unavailable and, the organic sectors’ concerns about access to quality seed, and seed price. Two farmer focus groups, a workshop with seed producers, a survey of merchants of organic maize seed, and a research project advisory board suggested that the degree of concern about the loophole and seed quality varied according to participants’ priorities. Farmers equate seed quality with agronomic traits impacting grain yield and crop establishment (vigor, emergence and tolerance to cultivation). Traits influencing grain quality or composition for specific uses, and the ability to satisfy consumer wants were more important to buyers. Seed price was of greater concern to farmers and buyers catering to commodity markets than to producers and buyers serving de-commodified markets. Producers that prized yield most highly were less concerned about the loophole or interested in participatory on-farm breeding and testing networks than farmers catering to specialty markets. Despite interest, little information about nutritional quality, rhizosphere function, and ecosystem service provision is circulated outside of academic groups. A workshop with leaders in the organic seed improvement industry and advisory board input identified the inability of inbred lines to withstand weed, pest, and disease pressure as the main bottleneck increasing costs and limiting investment in organic seed improvement. The cost differential between organic-and conventional non-treated seed, and competition from organic grain imports, were believed to be limiting the price of certified seed, thus making it difficult to garner investment and innovation needed to develop desired agronomic, environmental, or grain-quality traits. An audit of seed sales reported by &gt;90% of U.S. vendors of certified seed found that the volume of organic seed being sold may account for as much as 75% of organic maize acreage planted in the U.S. Costs of non-treated seed sourced through the loophole are 40-100% less than certified seed. With 75% of U.S. organic corn being produced using certified organic seed, we conclude that the loophole is not altering seed quality by undercutting organic seed sales. Substantially higher costs of organic seed production and challenges associated with organic seed production appear to be the most likely barriers to maize seed improvement for the organic sector.}, journal={Frontiers in Agronomy}, author={Endres, A. Bryan and Andrade Laborde, Juan E. and Bohn, Martin O. and Formiga, Alice K. and Goldstein, Walter A. and Marriott, Emily E. and Ugarte, Carmen M. and Wander, Michelle M.}, year={2022} }</w:t>
        </w:r>
      </w:hyperlink>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06">
        <w:r w:rsidDel="00000000" w:rsidR="00000000" w:rsidRPr="00000000">
          <w:rPr>
            <w:vertAlign w:val="baseline"/>
            <w:rtl w:val="0"/>
          </w:rPr>
          <w:t xml:space="preserve"> @article{Feder_Umali_1993, series={Special Issue Technology and Innovation In Agriculture and Natural Resources}, title={The adoption of agricultural innovations: A review}, volume={43}, ISSN={0040-1625}, DOI={10.1016/0040-1625(93)90053-A}, abstractNote={This paper reviews the theoretical and empirical literature on the adoption of agricultural innovations during the last decade and the impact of policy interventions promoting technology adoption. The analysis of the final stage of the Green Revolution technology diffusion cycle reveals that the agroclimatic environment is the most significant determinant of locational differences in adoption rates. The linkage between micro-adoption and the aggregate diffusion process needs to be more firmly established to achieve a clearer understanding of diffusion patterns. Several studies showed that the impact of policy interventions to promote technology adoption depends on the type of technology, market structure, and the nature and duration of the policy intervention.}, number={3}, journal={Technological Forecasting and Social Change}, author={Feder, Gershon and Umali, Dina L.}, year={1993}, month={May}, pages={215–239}, collection={Special Issue Technology and Innovation In Agriculture and Natural Resources}, language={en} }</w:t>
        </w:r>
      </w:hyperlink>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07">
        <w:r w:rsidDel="00000000" w:rsidR="00000000" w:rsidRPr="00000000">
          <w:rPr>
            <w:vertAlign w:val="baseline"/>
            <w:rtl w:val="0"/>
          </w:rPr>
          <w:t xml:space="preserve"> @article{Flaten_Lien_Koesling_Løes_2010, title={Norwegian farmers ceasing certified organic production: Characteristics and reasons}, volume={91}, ISSN={0301-4797}, DOI={10.1016/j.jenvman.2010.07.026}, abstractNote={This article examines the characteristics of and reasons for Norwegian farmers’ ceasing or planning to cease certified organic production. We gathered…}, number={12}, journal={Journal of Environmental Management}, publisher={Academic Press}, author={Flaten, Ola and Lien, Gudbrand and Koesling, Matthias and Løes, Anne-Kristin}, year={2010}, month={Dec}, pages={2717–2726}, language={en-US} }</w:t>
        </w:r>
      </w:hyperlink>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08">
        <w:r w:rsidDel="00000000" w:rsidR="00000000" w:rsidRPr="00000000">
          <w:rPr>
            <w:vertAlign w:val="baseline"/>
            <w:rtl w:val="0"/>
          </w:rPr>
          <w:t xml:space="preserve"> @article{Floress_García de Jalón_Church_Babin_Ulrich-Schad_Prokopy_2017, title={Toward a theory of farmer conservation attitudes: Dual interests and willingness to take action to protect water quality}, volume={53}, ISSN={02724944}, DOI={10.1016/j.jenvp.2017.06.009}, journal={Journal of Environmental Psychology}, author={Floress, Kristin and García de Jalón, Silvestre and Church, Sarah P. and Babin, Nicholas and Ulrich-Schad, Jessica D. and Prokopy, Linda S.}, year={2017}, month={Nov}, pages={73–80} }</w:t>
        </w:r>
      </w:hyperlink>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09">
        <w:r w:rsidDel="00000000" w:rsidR="00000000" w:rsidRPr="00000000">
          <w:rPr>
            <w:vertAlign w:val="baseline"/>
            <w:rtl w:val="0"/>
          </w:rPr>
          <w:t xml:space="preserve"> @article{Gunningham_Sinclair_1999, title={Regulatory Pluralism: Designing Policy Mixes for Environmental Protection}, volume={21}, number={1}, journal={Law &amp; Policy}, author={Gunningham, Neil and Sinclair, Darren}, year={1999} }</w:t>
        </w:r>
      </w:hyperlink>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10">
        <w:r w:rsidDel="00000000" w:rsidR="00000000" w:rsidRPr="00000000">
          <w:rPr>
            <w:vertAlign w:val="baseline"/>
            <w:rtl w:val="0"/>
          </w:rPr>
          <w:t xml:space="preserve"> @book{Guthman_2014, address={Berkeley}, title={Agrarian Dreams: The paradox of organic farming in California}, url={https://doi.org/10.1525/9780520959132}, publisher={University of California Press}, author={Guthman, Julie}, year={2014} }</w:t>
        </w:r>
      </w:hyperlink>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11">
        <w:r w:rsidDel="00000000" w:rsidR="00000000" w:rsidRPr="00000000">
          <w:rPr>
            <w:vertAlign w:val="baseline"/>
            <w:rtl w:val="0"/>
          </w:rPr>
          <w:t xml:space="preserve"> @article{Hebinck_Klerkx_Elzen_Kok_König_Schiller_Tschersich_van Mierlo_von Wirth_2021, series={Celebrating a decade of EIST: What’s next for transition studies?}, title={Beyond food for thought – Directing sustainability transitions research to address fundamental change in agri-food systems}, volume={41}, ISSN={2210-4224}, DOI={10.1016/j.eist.2021.10.003}, abstractNote={Dominant agricultural and food systems lead to continuous resource depletion and unacceptable environmental and social impacts. While current calls for changing agrifood systems are increasingly framed in the context of sustainability transitions, they rarely make an explicit link to transition studies to address these systemic challenges, nor do transition scholars sufficiently address agri-food systems, despite their global pertinence. From this viewpoint, we illustrate several gaps in the agri-food systems debate that sustainability transition studies could engage in. We propose four avenues for research in the next decade of transition research on agri-food systems: 1) Crossscale dynamics between coupled systems; 2) Social justice, equity and inclusion; 3) Sustainability transitions in low- and middle-income countries; 4) Cross-sectoral governance and system integration. We call for a decade of new transition research that moves beyond single-scale and sector perspectives toward more inclusive and integrated analyses of food system dynamics.}, journal={Environmental Innovation and Societal Transitions}, author={Hebinck, Aniek and Klerkx, Laurens and Elzen, Boelie and Kok, Kristiaan P. W. and König, Bettina and Schiller, Katharina and Tschersich, Julia and van Mierlo, Barbara and von Wirth, Timo}, year={2021}, month={Dec}, pages={81–85}, collection={Celebrating a decade of EIST: What’s next for transition studies?}, language={en} }</w:t>
        </w:r>
      </w:hyperlink>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12">
        <w:r w:rsidDel="00000000" w:rsidR="00000000" w:rsidRPr="00000000">
          <w:rPr>
            <w:vertAlign w:val="baseline"/>
            <w:rtl w:val="0"/>
          </w:rPr>
          <w:t xml:space="preserve"> @book{Hubbard_Zystro_2016, title={State of Organic Seed 2016}, url={http://seedalliance.org/index.php?mact=DocumentStore,cntnt01,download_form,0&amp;cntnt01pid=7&amp;cntnt01returnid=139}, institution={Organic Seed Alliance}, author={Hubbard, Kiki and Zystro, Jared}, year={2016}, pages={113} }</w:t>
        </w:r>
      </w:hyperlink>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13">
        <w:r w:rsidDel="00000000" w:rsidR="00000000" w:rsidRPr="00000000">
          <w:rPr>
            <w:vertAlign w:val="baseline"/>
            <w:rtl w:val="0"/>
          </w:rPr>
          <w:t xml:space="preserve"> @book{Hubbard_Zystro_Wood_2022, address={Port Townsend, WA}, title={State of Organic Seed}, institution={Organic Seed Alliance}, author={Hubbard, Kiki and Zystro, Jared and Wood, Liza}, year={2022}, language={en} }</w:t>
        </w:r>
      </w:hyperlink>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14">
        <w:r w:rsidDel="00000000" w:rsidR="00000000" w:rsidRPr="00000000">
          <w:rPr>
            <w:vertAlign w:val="baseline"/>
            <w:rtl w:val="0"/>
          </w:rPr>
          <w:t xml:space="preserve"> @article{Jain_Islam_Goossen_Nair_2023, title={Social movements and institutional entrepreneurship as facilitators of technology transition: The case of free/open-source software}, volume={52}, ISSN={0048-7333}, DOI={10.1016/j.respol.2022.104672}, abstractNote={We integrate insights from the literature on social movements and institutional entrepreneurship into the strategic niche management (SNM) and multilevel perspective (MLP) frameworks to understand the emergence of Linux, a free/open-source operating system, in a regime dominated by proprietary operating systems such as Unix and Windows NT. Employing a “microhistories” methodology, we document how actors in the free/open-source movement took steps that enabled an alternate technological niche to form, gain momentum and eventually infiltrate the extant regime. Our account delineates the key role that actors play in shaping the identity of a niche, amplifying its presence, and finally mainstreaming it. We observe a heterogenous response by incumbents to the emergent niche and highlight the sustained coexistence of a niche and regime as a distinct form of technological transition. Finally, we demonstrate the significant impact that a niche can have, spanning beyond the targeted regime, and becoming part of the landscape. Our insights highlight how tracing the processes involved in the emergence and development of a niche can provide a prospective and generative understanding of technological transition, thereby contributing to and complementing the extant SNM and MLP literatures.}, number={2}, journal={Research Policy}, author={Jain, Sanjay and Islam, Habib A. and Goossen, Martin C. and Nair, Anil}, year={2023}, month={Mar}, pages={104672}, language={en} }</w:t>
        </w:r>
      </w:hyperlink>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15">
        <w:r w:rsidDel="00000000" w:rsidR="00000000" w:rsidRPr="00000000">
          <w:rPr>
            <w:vertAlign w:val="baseline"/>
            <w:rtl w:val="0"/>
          </w:rPr>
          <w:t xml:space="preserve"> @article{Kern_Verhees_Raven_Smith_2015, title={Empowering sustainable niches: Comparing UK and Dutch offshore wind developments}, volume={100}, ISSN={0040-1625}, DOI={10.1016/j.techfore.2015.08.004}, abstractNote={Offshore wind has been positioned as a promising technology that could play a major role in moving towards more sustainable energy systems, but deployment varies significantly across countries. This article aims to explain the contrast between the boom in the UK versus stagnation in The Netherlands, by analysing the niche empowerment dynamics building on Smith and Raven’s (2012) distinction between ‘fit and conform’ and ‘stretch and transform’ strategies. Analysis focuses on the actor networks and the narratives they use to enrol support for the deployment of the technology. We conclude that because the narratives mobilised are quite similar in both cases, an explanation must lie with the actors. We argue that the UK’s relative success is partly the result of the presence of a proactive ‘system builder’ in the form of the Crown Estate which plays a central role in powerful public–private actor networks around offshore wind. We also conclude that the Smith and Raven ‘protected space’ framework fails to capture how different national institutional settings shape the possibilities for empowering work of technology advocates as our analysis shows that despite the highly international nature of the offshore wind sector, attempts by multi-national companies result in different outcomes in different countries.}, journal={Technological Forecasting and Social Change}, author={Kern, Florian and Verhees, Bram and Raven, Rob and Smith, Adrian}, year={2015}, month={Nov}, pages={344–355}, language={en} }</w:t>
        </w:r>
      </w:hyperlink>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16">
        <w:r w:rsidDel="00000000" w:rsidR="00000000" w:rsidRPr="00000000">
          <w:rPr>
            <w:vertAlign w:val="baseline"/>
            <w:rtl w:val="0"/>
          </w:rPr>
          <w:t xml:space="preserve"> @article{Köhler_Turnheim_Hodson_2020, title={Low carbon transitions pathways in mobility: Applying the MLP in a combined case study and simulation bridging analysis of passenger transport in the Netherlands}, volume={151}, ISSN={0040-1625}, DOI={10.1016/J.TECHFORE.2018.06.003}, abstractNote={The analysis addresses two critical gaps in the literature on low-carbon mobility transitions: 1) scenarios of low-carbon mobility concentrate on technological substitution and have only a limited representation of niche-regime interactions and behavioural change, and 2) detailed qualitative analysis of socio-technical transitions dynamics have limited utility in developing future projections. It applies the Multi-Level Perspective on transitions, combining case studies of mobility niches in the Netherlands with simulations of transitions pathways using the MATISSE model, by applying the bridging approach proposed by Turnheim et al. (2015a). The iterative, combined qualitative case study and quantitative simulation approach develops transition pathways including both behavioural and technological change. The results show that both technological substitution to low carbon cars or a reconfiguration pathway away from car ownership to mobility lifestyles based on new public transport or cycling and walking for local trips are possible. However, while there is empirical evidence for the initial stage of a technological substitution to battery electric vehicles, transitions away from car ownership as the dominant mobility lifestyle have to overcome an established regime and will require major changes in culture and behaviour as well as support for new priorities in the institutions of transport planning.}, journal={Technological Forecasting and Social Change}, publisher={North-Holland}, author={Köhler, Jonathan and Turnheim, Bruno and Hodson, Mike}, year={2020}, month={Feb}, pages={119314} }</w:t>
        </w:r>
      </w:hyperlink>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17">
        <w:r w:rsidDel="00000000" w:rsidR="00000000" w:rsidRPr="00000000">
          <w:rPr>
            <w:vertAlign w:val="baseline"/>
            <w:rtl w:val="0"/>
          </w:rPr>
          <w:t xml:space="preserve"> @book{Liveseed_2021, title={A national roadmap towards 100% organic seed}, url={https://www.liveseed.eu/wp-content/uploads/2021/09/Policy-brief-RoadMap-National-Authorities_final_compressed-4.pdf}, author={Liveseed}, year={2021} }</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18">
        <w:r w:rsidDel="00000000" w:rsidR="00000000" w:rsidRPr="00000000">
          <w:rPr>
            <w:vertAlign w:val="baseline"/>
            <w:rtl w:val="0"/>
          </w:rPr>
          <w:t xml:space="preserve"> @article{Meadowcroft_2009, title={What about the politics? Sustainable development, transition management, and long term energy transitions}, volume={42}, ISSN={1573-0891}, DOI={10.1007/s11077-009-9097-z}, abstractNote={This article is concerned with governance of long term socio-technical transitions required to orient development trajectories of advanced industrial counties along more sustainable lines. It discusses the contribution that ‘transition management’ can make to such processes, emphasizes the irreducibly political character of governance for sustainable development, and suggests that the long-term transformation of energy systems will prove to be a messy, conflictual, and highly disjointed process.}, number={4}, journal={Policy Sciences}, author={Meadowcroft, James}, year={2009}, month={Jul}, pages={323}, language={en} }</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19">
        <w:r w:rsidDel="00000000" w:rsidR="00000000" w:rsidRPr="00000000">
          <w:rPr>
            <w:vertAlign w:val="baseline"/>
            <w:rtl w:val="0"/>
          </w:rPr>
          <w:t xml:space="preserve"> @article{Napier_Robinson_Tucker_2000, title={Adoption of precision farming within three Midwest watersheds}, volume={55}, rights={Copyright 2000 by the Soil and Water Conservation Society}, ISSN={0022-4561, 1941-3300}, abstractNote={ABSTRACT:Data were collected from 1,011 land owner-operators within three Midwest watersheds to assess the merits of a theoretical perspective developed to predict adoption of precision farming technologies at the farm-level. Data were collected from primary farm operators within watersheds in Ohio, Iowa, and Minnesota using a drop-off-pick-up-later technique. Respondents were asked to indicate the probability that they would adopt precision farming techniques within the next five years. Respondents were divided into two study groups for statistical purposes. Farmers who indicated they would probably adopt precision farming techniques were combined into one group and those who indicated they would probably not adopt were combined into a second group. Discriminant analysis was used to test the merits of the theoretical model used to guide the study. Study findings revealed that the theoretical model was useful for predicting reported intentions concerning adoption of precision farming technologies within all of the watersheds examined.}, number={2}, journal={Journal of Soil and Water Conservation}, publisher={Soil and Water Conservation Society}, author={Napier, T. L. and Robinson, J. and Tucker, M.}, year={2000}, month={Apr}, pages={135–141}, language={en} }</w:t>
        </w:r>
      </w:hyperlink>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20">
        <w:r w:rsidDel="00000000" w:rsidR="00000000" w:rsidRPr="00000000">
          <w:rPr>
            <w:vertAlign w:val="baseline"/>
            <w:rtl w:val="0"/>
          </w:rPr>
          <w:t xml:space="preserve"> @book{National Organic Standards Board_2006, title={Sunset Review - 205.601 Synthetic substances allowed for use in organic crop production}, url={https://www.ams.usda.gov/sites/default/files/media/NOP%20Sunset%20Rec%20Hydrated%20Lime%20in%20Crops.pdf}, author={National Organic Standards Board}, year={2006} }</w:t>
        </w:r>
      </w:hyperlink>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21">
        <w:r w:rsidDel="00000000" w:rsidR="00000000" w:rsidRPr="00000000">
          <w:rPr>
            <w:vertAlign w:val="baseline"/>
            <w:rtl w:val="0"/>
          </w:rPr>
          <w:t xml:space="preserve"> @book{National Organic Standards Board_2008, title={Commercial Availability of Organic Seeds}, url={https://www.ams.usda.gov/sites/default/files/media/NOP%20Final%20Rec%20Seed%20Commercial%20Availability.pdf}, author={National Organic Standards Board}, year={2008} }</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22">
        <w:r w:rsidDel="00000000" w:rsidR="00000000" w:rsidRPr="00000000">
          <w:rPr>
            <w:vertAlign w:val="baseline"/>
            <w:rtl w:val="0"/>
          </w:rPr>
          <w:t xml:space="preserve"> @book{National Organic Standards Board_2018, title={Strengthening the Organic Seed Guidance}, url={https://www.ams.usda.gov/sites/default/files/media/CSStrengtheningOrganicSeedRecOct2018.pdf}, author={National Organic Standards Board}, year={2018} }</w:t>
        </w:r>
      </w:hyperlink>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23">
        <w:r w:rsidDel="00000000" w:rsidR="00000000" w:rsidRPr="00000000">
          <w:rPr>
            <w:vertAlign w:val="baseline"/>
            <w:rtl w:val="0"/>
          </w:rPr>
          <w:t xml:space="preserve"> @book{Organic Seed Alliance_2022, title={2023 Policy Platform for Seed}, institution={Organic Seed Alliance}, author={Organic Seed Alliance}, year={2022}, language={en} }</w:t>
        </w:r>
      </w:hyperlink>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24">
        <w:r w:rsidDel="00000000" w:rsidR="00000000" w:rsidRPr="00000000">
          <w:rPr>
            <w:vertAlign w:val="baseline"/>
            <w:rtl w:val="0"/>
          </w:rPr>
          <w:t xml:space="preserve"> @article{Padel_Orsini_Solfanelli_Zanoli_2021, title={Can the Market Deliver 100% Organic Seed and Varieties in Europe?}, url={https://doi.org/10.3390/su131810305}, DOI={10.3390/su131810305}, abstractNote={Citation: Padel, S.; Orsini, S.; Solfanelli, F.; Zanoli, R. Can the Market Deliver 100% Organic Seed and Varieties in Europe? Sustainability 2021, 13, 10305. https:// Abstract: This paper considers European organic seed as a market in the sense of economic theory and explores factors impacting seed supply and demand. Under the organic regulation, farmers have to use seed multiplied in organic farming or apply for a derogation. We evaluated the functioning of the organic seed market, based on case studies of seed supply chains for arable, vegetable and forage crops; a farmer survey; and a status-quo analysis of the organic seed sector from the European LIVESEED project. The organic seed market is characterised by small size, great diversity of crops grown, unsolved technical problems for some crops and limited capacity of breeding varieties adapted to organic farming conditions. Demand vastly outstrips supply for most crops, but strong regional and sector differences were observed. A lack of information about availability and price for organic seed is likely to act as barrier to investment. Full enforcement of the regulation to use only organic seed might have unforeseen consequences, such as a reduction of agrobiodiversity in organic farming, rather than supporting an increase in supply. We conclude that the market alone is not likely to deliver 100% organic seed and government intervention is justified.}, journal={Sustainability}, author={Padel, Susanne and Orsini, Stefano and Solfanelli, Francesco and Zanoli, Raffaele}, year={2021} }</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25">
        <w:r w:rsidDel="00000000" w:rsidR="00000000" w:rsidRPr="00000000">
          <w:rPr>
            <w:vertAlign w:val="baseline"/>
            <w:rtl w:val="0"/>
          </w:rPr>
          <w:t xml:space="preserve"> @article{Pettersson_Söderholm_2014, title={Industrial Pollution Control and Efficient Licensing Processes: The Case of Swedish Regulatory Design}, volume={6}, rights={http://creativecommons.org/licenses/by/3.0/}, ISSN={2071-1050}, DOI={10.3390/su6085401}, abstractNote={Industrial pollution accounts for a large proportion of global pollution, and in the European Union, an integrated pollution and prevention approach based on individual performance standards has been implemented to regulate emissions from industrial plants. Crucial for the assessment of the licensing conditions are the Best Available Technique (BAT) requirements, which should be set in accordance with the recently introduced Industrial Emissions Directive (IED). In this paper, we review and assess the licensing of industrial plants in one of the Member States, namely Sweden. Specifically, we discuss how the existing regulations (including the IED) manage to address potential trade-offs between important regulatory design issues, such as flexibility, predictability and the need to provide continuous incentives for environmental improvements. The analysis indicates that while the EU regulations provide flexibility in terms of the choice of compliance measures, in Sweden, it enters an existing regulatory framework that adds a lot of uncertainty with respect to the outcome of the licensing processes. An important challenge for the implementation of the IED is to implement performance standards that lead to continuous incentives to improve environmental performance in industrial sectors without, at the same time, adding new uncertainties. While standards ideally should be both flexible and predictable, achieving one of these criteria may often come at the expense of the other.}, number={88}, journal={Sustainability}, publisher={Multidisciplinary Digital Publishing Institute}, author={Pettersson, Maria and Söderholm, Patrik}, year={2014}, month={Aug}, pages={5401–5422}, language={en} }</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26">
        <w:r w:rsidDel="00000000" w:rsidR="00000000" w:rsidRPr="00000000">
          <w:rPr>
            <w:vertAlign w:val="baseline"/>
            <w:rtl w:val="0"/>
          </w:rPr>
          <w:t xml:space="preserve"> @article{Piñeiro_Arias_Dürr_Elverdin_Ibáñez_Kinengyere_Opazo_Owoo_Page_Prager_et al._2020, title={A scoping review on incentives for adoption of sustainable agricultural practices and their outcomes}, volume={3}, rights={2020 The Author(s)}, ISSN={2398-9629}, DOI={10.1038/s41893-020-00617-y}, abstractNote={The increasing pressure on agricultural production systems to achieve global food security and prevent environmental degradation necessitates a transition towards more sustainable practices. The purpose of this scoping review is to understand how the incentives offered to farmers motivate the adoption of sustainable agricultural practices and, ultimately, how and whether they result in measurable outcomes. To this end, this scoping review examines the evidence of nearly 18,000 papers on whether incentive-based programmes lead to the adoption of sustainable practices and their effect on environmental, economic and productivity outcomes. We find that independent of the incentive type, programmes linked to short-term economic benefit have a higher adoption rate than those aimed solely at providing an ecological service. In the long run, one of the strongest motivations for farmers to adopt sustainable practices is perceived benefits for either their farms, the environment or both. Beyond this, the importance of technical assistance and extension services in promoting sustainable practices emerges strongly from this scoping review. Finally, we find that policy instruments are more effective if their design considers the characteristics of the target population, and the associated trade-offs between economic, environmental and social outcomes.}, number={1010}, journal={Nature Sustainability}, publisher={Nature Publishing Group}, author={Piñeiro, Valeria and Arias, Joaquín and Dürr, Jochen and Elverdin, Pablo and Ibáñez, Ana María and Kinengyere, Alison and Opazo, Cristian Morales and Owoo, Nkechi and Page, Jessica R. and Prager, Steven D. and Torero, Maximo}, year={2020}, month={Oct}, pages={809–820}, language={en} }</w:t>
        </w:r>
      </w:hyperlink>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27">
        <w:r w:rsidDel="00000000" w:rsidR="00000000" w:rsidRPr="00000000">
          <w:rPr>
            <w:vertAlign w:val="baseline"/>
            <w:rtl w:val="0"/>
          </w:rPr>
          <w:t xml:space="preserve"> @article{Prakash_Potoski_2007, title={Collective Action through Voluntary Environmental Programs: A Club Theory Perspective}, volume={35}, ISSN={1541-0072}, DOI={10.1111/j.1541-0072.2007.00247.x}, abstractNote={Voluntary environmental programs are institutions that seek to induce firms to produce positive environmental externalities beyond what government regulations require. Drawing on club theory, this paper outlines a theoretical perspective to study the relationship between program design and program effectiveness. Effective programs have rule structures that mitigate two central collective action problems inherent in producing positive environmental externalities: attracting firms to participate in the program and ensuring that participating firms adhere to program obligations. Because program efficacy can be undermined by collective action problems associated with free riding and shirking, effective voluntary clubs should be designed to mitigate these challenges.}, number={4}, journal={Policy Studies Journal}, author={Prakash, Aseem and Potoski, Matthew}, year={2007}, pages={773–792}, language={en} }</w:t>
        </w:r>
      </w:hyperlink>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28">
        <w:r w:rsidDel="00000000" w:rsidR="00000000" w:rsidRPr="00000000">
          <w:rPr>
            <w:vertAlign w:val="baseline"/>
            <w:rtl w:val="0"/>
          </w:rPr>
          <w:t xml:space="preserve"> @article{Prokopy_Floress_Arbuckle_Church_Eanes_Gao_Gramig_Ranjan_Singh_2019, title={Adoption of agricultural conservation practices in the United States: Evidence from 35 years of quantitative literature}, volume={74}, url={www.swcs.org}, DOI={10.2489/jswc.74.5.520}, abstractNote={This is a comprehensive review of all published, quantitative studies focused on adoption of agricultural conservation practices in the United States between 1982 and 2017. This review finds that, taken as a whole, few independent variables have a consistent statistically significant relationship with adoption. Analyses showed that variables positively associated with adoption include the farmer self-identifying primarily as stewardship motivated or otherwise nonfinancially motivated, environmental attitudes, a positive attitude toward the particular program or practice, previous adoption of other conservation practices, seeking and using information, awareness of programs or practices, vulnerable land, greater farm size, higher levels of income and formal education, engaging in marketing arrangements, and positive yield impact expected. Some variables often thought to be important, such as land tenure, did not emerge as consistently important in this cross-study review. Other variables , such as farmers’ sense of place, training, presence of institutional conditions supporting adoption, and the role of collective decision making are not measured in enough studies to draw conclusions but potentially have a relationship with adoption decisions. Implications for how to promote conservation adoption and directions for future research are discussed. Because positive attitudes and awareness of conservation programs or practices are positive predictors of adoption, practitioners should share benefits of specific practices and programs and leverage existing practice adoption. Further work to explore relationships between conservation adoption and the role of farmer identity, nuances of land tenure, and the influence of structural factors is needed. Moreover, we suggest that future research should focus on the impact of different messages and avenues of reaching farmers in order to continue to inform conservation practices. Future research should consider both individual and institutional factors that facilitate and constrain adoption.}, number={5}, journal={Journal of Soil and Water Conservation}, author={Prokopy, L S and Floress, K and Arbuckle, J G and Church, S P and Eanes, F R and Gao, Y and Gramig, B M and Ranjan, P and Singh, A S}, year={2019} }</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29">
        <w:r w:rsidDel="00000000" w:rsidR="00000000" w:rsidRPr="00000000">
          <w:rPr>
            <w:vertAlign w:val="baseline"/>
            <w:rtl w:val="0"/>
          </w:rPr>
          <w:t xml:space="preserve"> @article{Rogge_Reichardt_2016, title={Policy mixes for sustainability transitions: An extended concept and framework for analysis}, volume={45}, ISBN={0048-7333}, ISSN={00487333}, DOI={10.1016/j.respol.2016.04.004}, abstractNote={Reaching a better understanding of the policies and politics of transitions presents a main agenda item in the emerging field of sustainability transitions. One important requirement for these transitions, such as the move towards a decarbonized energy system, is the redirection and acceleration of technological change, for which policies play a key role. In this regard, several studies have argued for the need to combine different policy instruments in so-called policy mixes. However, existing policy mix studies often fall short of reflecting the complexity and dynamics of actual policy mixes, the underlying politics and the evaluation of their impacts. In this paper we take a first step towards an extended, interdisciplinary policy mix concept based on a review of the bodies of literature on innovation studies, environmental economics and policy analysis. The concept introduces a clear terminology and consists of the three building blocks elements, policy processes and characteristics, which can be delineated by several dimensions. Based on this, we discuss its application as analytical framework for empirical studies analyzing the impact of the policy mix on technological change. Throughout the paper we illustrate the proposed concept by using the example of the policy mix for fostering the transition of the German energy system to renewable power generation technologies. Finally, we derive policy implications and suggest avenues for future research.}, number={8}, journal={Research Policy}, publisher={Elsevier B.V.}, author={Rogge, Karoline S. and Reichardt, Kristin}, year={2016}, pages={1620–1635} }</w:t>
        </w:r>
      </w:hyperlink>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30">
        <w:r w:rsidDel="00000000" w:rsidR="00000000" w:rsidRPr="00000000">
          <w:rPr>
            <w:vertAlign w:val="baseline"/>
            <w:rtl w:val="0"/>
          </w:rPr>
          <w:t xml:space="preserve"> @article{Rohe_Oltmer_Wolter_Gmeiner_Tschersich_2022, title={Forever niche: Why do organically bred vegetable varieties not diffuse?}, volume={45}, ISSN={2210-4224}, DOI={10.1016/j.eist.2022.09.004}, abstractNote={While organic food increased its market share in conventional food retail, virtually all organic vegetables are still conventionally bred. For decades, organically bred vegetable varieties remained a market niche, despite their socio-ecological benefits. This paper conceptualizes actors and activities around organic breeding as a Technological Innovation System (TIS) and analyzes what prevents these varieties from widely diffusing into conventional supermarkets. Investigated systemic barriers relate to knowledge, market formation, investments, and legitimacy. The study is based on interviews with food retailers and (commons-based) breeding initiatives across Germany. Theoretically, the paper adds an innovation system perspective on the diffusion of organically bred varieties, a blind spot in the emerging seed commons debate. Furthermore, it contributes to sustainability transitions literature by introducing a novel empirical topic and reframing the TIS framework to analyze agri-food innovations. Identifying barriers and vicious cycles might support practitioners and policymakers seeking to diffuse this agri-food niche.}, journal={Environmental Innovation and Societal Transitions}, author={Rohe, Sebastian and Oltmer, Marie and Wolter, Hendrik and Gmeiner, Nina and Tschersich, Julia}, year={2022}, month={Dec}, pages={83–100}, language={en} }</w:t>
        </w:r>
      </w:hyperlink>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31">
        <w:r w:rsidDel="00000000" w:rsidR="00000000" w:rsidRPr="00000000">
          <w:rPr>
            <w:vertAlign w:val="baseline"/>
            <w:rtl w:val="0"/>
          </w:rPr>
          <w:t xml:space="preserve"> @article{Romero-Castro_López-Cabarcos_Piñeiro-Chousa_2022, title={Uncovering complexity in the economic assessment of derogations from the European industrial emissions directive}, volume={7}, ISSN={2444-569X}, DOI={10.1016/j.jik.2021.11.001}, abstractNote={Environmental regulation forces many industrial sectors to explore alternative innovative compliance investments to internalize environmental externalities without hindering competitiveness. The impacts of air emissions associated with climate change and other global and local sources on health and ecosystems are a main concern. Under the Industrial Emissions Directive (IED), the European Union requires that industrial facilities obtain an operating permit linked to specific emissions levels that can be reached through application of the best available techniques (BAT). Some flexibility is allowed in the choice of these BATs, and in some cases, derogations can be obtained if a cost-benefit analysis (CBA) accounting for all private and social costs and benefits reveals that the BAT option results in disproportionate costs. CBAs depend on complex variables that are subject to a high degree of uncertainty, such as the social discount rate (SDR), the private weighted average cost of capital (WACC), and the value of the social or external costs derived from changes in air emissions. Through a case study comparing two alternative compliance options in a fictitious nonferrous metal plant (a BAT with disproportionate costs and a more cost-efficient and cost-effective derogation proposal), this study applied fuzzy-set qualitative comparative analysis (fsQCA) to improve the understanding of how the former uncertain variables affect the surplus net present value (SNPV) of the derogation option. The results can be considered by plant operators and policy-makers to design more transparent and balanced licensing processes, which can improve environmental protection without damaging economic competitiveness.}, number={1}, journal={Journal of Innovation &amp; Knowledge}, author={Romero-Castro, Noelia and López-Cabarcos, M. Ángeles and Piñeiro-Chousa, Juan}, year={2022}, month={Jan}, pages={100159} }</w:t>
        </w:r>
      </w:hyperlink>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32">
        <w:r w:rsidDel="00000000" w:rsidR="00000000" w:rsidRPr="00000000">
          <w:rPr>
            <w:vertAlign w:val="baseline"/>
            <w:rtl w:val="0"/>
          </w:rPr>
          <w:t xml:space="preserve"> @misc{Roseboro_2018, title={Is it time to close the loophole allowing conventional seed in organic food production?}, url={https://non-gmoreport.com/articles/is-it-time-to-close-the-loophole-allowing-conventional-seed-in-organic-food-production/}, abstractNote={New rule proposed by National Organic Standards Board would require farmers to show continuous improvement in sourcing and using organic seed}, journal={The Organic &amp; Non-GMO Report}, author={Roseboro, Ken}, year={2018}, language={en-US} }</w:t>
        </w:r>
      </w:hyperlink>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33">
        <w:r w:rsidDel="00000000" w:rsidR="00000000" w:rsidRPr="00000000">
          <w:rPr>
            <w:vertAlign w:val="baseline"/>
            <w:rtl w:val="0"/>
          </w:rPr>
          <w:t xml:space="preserve"> @article{Rosov_Mallin_Cahoon_2020, title={Waste nutrients from U.S. animal feeding operations: Regulations are inconsistent across states and inadequately assess nutrient export risk}, volume={269}, ISSN={0301-4797}, DOI={10.1016/j.jenvman.2020.110738}, abstractNote={Livestock production in the United States has been transformed over the past several decades, largely as a result of widespread development of industrial-scale mass production facilities, termed Animal Feeding Operations (AFOs). These facilities generate massive amounts of animal waste that can concentrate in small areas. Animal wastes from AFOs have led to high levels of nutrients and other pollutants in nearby surface waters, as well as groundwater. The environmental problems associated with these disposal practices have led to federal and state modifications to the rules and regulations governing waste practices. We summarize the federal guidelines for AFO nutrient management, focusing on swine, and compare the regulations of four AFO-rich states in different regions of the USA. Furthermore, we discuss inconsistencies among regulations and regulatory gaps, and identify issues with waste nutrient management practices that lead to environmental degradation in watersheds hosting AFOs. Finally, we address these shortcomings and the need to implement policy updates that would alleviate some of these environmental and human concerns.}, journal={Journal of Environmental Management}, author={Rosov, Kimberley A. and Mallin, Michael A. and Cahoon, Lawrence B.}, year={2020}, month={Sep}, pages={110738} }</w:t>
        </w:r>
      </w:hyperlink>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34">
        <w:r w:rsidDel="00000000" w:rsidR="00000000" w:rsidRPr="00000000">
          <w:rPr>
            <w:vertAlign w:val="baseline"/>
            <w:rtl w:val="0"/>
          </w:rPr>
          <w:t xml:space="preserve"> @article{Rue_Martino_Chopin_2009, title={Approximate Bayesian inference for latent Gaussian models using inte- grated nested Laplace approximations (with discussion)}, volume={71}, number={2}, journal={Journal of the Royal Statistical Society, Series B}, author={Rue, Håvard and Martino, Sara and Chopin, Nicolas}, year={2009}, pages={319–392} }</w:t>
        </w:r>
      </w:hyperlink>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35">
        <w:r w:rsidDel="00000000" w:rsidR="00000000" w:rsidRPr="00000000">
          <w:rPr>
            <w:vertAlign w:val="baseline"/>
            <w:rtl w:val="0"/>
          </w:rPr>
          <w:t xml:space="preserve"> @article{Sahm_Sanders_Nieberg_Behrens_Kuhnert_Strohm_Hamm_2013, title={Reversion from organic to conventional agriculture: A review}, volume={28}, ISSN={1742-1705}, abstractNote={Over the past 10 years, the organic sector has expanded continuously in Europe due to policy support and a growing market demand for organic products. In line with this development, many farmers converted to organic farming each year. Nevertheless, the total number of organic farms has not increased constantly in Europe. In several countries, the absolute number of organic farms actually decreased in some years of the past decade. Some of the deregistered farmers gave up completely; others reverted to conventional agriculture. Against this background, this article aims (i) to give an overview of the extent of reversion to conventional agriculture in Europe based on statistics, (ii) to conceptualize the decision to revert in the form of a theoretical model, (iii) to compare farmers’ reasons to revert to conventional farming based on existing studies, and (iv) to identify further research needs. The importance of reversions to conventional agriculture is difficult to determine with the existing data, especially as in most cases it is not recorded as to what happened to the farms after deregistering from organic certification. The data nevertheless show that there are large fluctuations in the organic sector with many farmers entering and exiting each year. In order to reveal the farmers’ reasons for deregistering, various qualitative as well as quantitative surveys have been carried out already. For most farmers, the decision to revert is a result of different factors. Reasons for the reversion of their farms can be classified into economic motives, difficulties regarding certification and control, problems with organic production techniques as well as the farms’ macro environment. In most cases, however, economic reasons played a main role. Suggestions for organic legislation bodies, advisory services and policy makers are derived out of the findings. A deeper understanding of the influencing aspects regarding reversions and the necessary changes in the organic sector to avoid them should be an important objective of forthcoming research.}, number={3}, journal={Renewable Agriculture and Food Systems}, publisher={Cambridge University Press}, author={Sahm, Henriette and Sanders, Jürn and Nieberg, Hiltrud and Behrens, Gesine and Kuhnert, Heike and Strohm, Renate and Hamm, Ulrich}, year={2013}, pages={263–275} }</w:t>
        </w:r>
      </w:hyperlink>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36">
        <w:r w:rsidDel="00000000" w:rsidR="00000000" w:rsidRPr="00000000">
          <w:rPr>
            <w:vertAlign w:val="baseline"/>
            <w:rtl w:val="0"/>
          </w:rPr>
          <w:t xml:space="preserve"> @article{von Sehlen_2007, title={BEYOND ORGANIC: DEFINING ALTERNATIVES TO USDA CERTIFIED ORGANIC}, url={https://scholarworks.umt.edu/etd/94}, journal={Graduate Student Theses, Dissertations, &amp; Professional Papers}, author={von Sehlen, Jennifer}, year={2007}, month={Jan} }</w:t>
        </w:r>
      </w:hyperlink>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37">
        <w:r w:rsidDel="00000000" w:rsidR="00000000" w:rsidRPr="00000000">
          <w:rPr>
            <w:vertAlign w:val="baseline"/>
            <w:rtl w:val="0"/>
          </w:rPr>
          <w:t xml:space="preserve"> @article{Seyfang_Hielscher_Hargreaves_Martiskainen_Smith_2014, title={A grassroots sustainable energy niche? Reflections on community energy in the UK}, volume={13}, ISSN={2210-4224}, DOI={10.1016/j.eist.2014.04.004}, abstractNote={System-changing innovations for sustainability transitions are proposed to emerge in radical innovative niches. ‘Strategic Niche Management’ theory predicts that niche-level actors and networks will aggregate learning from local projects, disseminating best practice, and encouraging innovation diffusion. Grassroots innovations emerging from civil society are under-researched, and so we investigate the UK community energy sector to empirically test this model. Our analysis draws on qualitative case study research with local projects, and a study of how intermediary organisations support local projects. We examine the extent and nature of interactions and resource flows between projects and intermediary actors in order to evaluate the utility of niche theories in the civil society context. While networking and intermediary organisations can effectively spread some types of learning necessary for diffusion, this is not sufficient: tacit knowledge, trust and confidence are essential to these projects’ success, but are more difficult to abstract and translate to new settings. We discuss the implications of our findings for niche theory, for community energy and other grassroots practitioners aiming to build robust influential niches, and for policymakers.}, journal={Environmental Innovation and Societal Transitions}, author={Seyfang, Gill and Hielscher, Sabine and Hargreaves, Tom and Martiskainen, Mari and Smith, Adrian}, year={2014}, month={Dec}, pages={21–44} }</w:t>
        </w:r>
      </w:hyperlink>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38">
        <w:r w:rsidDel="00000000" w:rsidR="00000000" w:rsidRPr="00000000">
          <w:rPr>
            <w:vertAlign w:val="baseline"/>
            <w:rtl w:val="0"/>
          </w:rPr>
          <w:t xml:space="preserve"> @book{Smith_Fressoli_Abrol_Arond_Ely_2017, address={New York}, title={Grassroots Innovation Movements}, publisher={Routledge}, author={Smith, Adrian and Fressoli, Mariano and Abrol, Dinesh and Arond, Elisa and Ely, Adrian}, year={2017}, language={en} }</w:t>
        </w:r>
      </w:hyperlink>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39">
        <w:r w:rsidDel="00000000" w:rsidR="00000000" w:rsidRPr="00000000">
          <w:rPr>
            <w:vertAlign w:val="baseline"/>
            <w:rtl w:val="0"/>
          </w:rPr>
          <w:t xml:space="preserve"> @article{Smith_Raven_2012, title={What is protective space? Reconsidering niches in transitions to sustainability}, volume={41}, ISSN={00487333}, DOI={10.1016/J.RESPOL.2011.12.012}, abstractNote={The transitions literature emphasises the role of niches, defined as a protective space for path-breaking innovations. Surprisingly, the concept of protection has not been systematically interrogated. Our analysis identifies effective protection as having three properties in wider transition processes: shielding, nurturing and empowerment. Empowerment is considered the least developed in current niche literature. It can be understood as either processes that make niche innovations competitive within unchanged selection environments (fit-and-conform) or as processes that contribute to changes in mainstream selection environments in ways favourable to a path-breaking niche innovation (stretch-and-transform). Adopting a more constructivist perspective, we subsequently argue that analysis of these properties needs to be complemented with particular attention for the politics involved in their construction. Attention to empowerment confirms the view that niche actors need to link to wider processes of social change, and suggests how this arises. The paper ends with an outlook upon two promising research avenues: (1) the reconstruction of niche development in light of the present framework; (2) analyses of the diverse (political) narratives seeking to empower niches across time and space. © 2012 Elsevier B.V. All rights reserved.}, number={6}, journal={Research Policy}, author={Smith, Adrian and Raven, Rob}, year={2012}, month={Jul}, pages={1025–1036} }</w:t>
        </w:r>
      </w:hyperlink>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40">
        <w:r w:rsidDel="00000000" w:rsidR="00000000" w:rsidRPr="00000000">
          <w:rPr>
            <w:vertAlign w:val="baseline"/>
            <w:rtl w:val="0"/>
          </w:rPr>
          <w:t xml:space="preserve"> @article{Söderholm_Bergquist_Pettersson_Söderholm_2022, title={The political economy of industrial pollution control: environmental regulation in Swedish industry for five decades}, volume={65}, ISSN={0964-0568}, DOI={10.1080/09640568.2021.1920375}, abstractNote={The paper analyzes the prerequisites for a regulatory-driven transition toward radically lower air and water pollution in industry. This is achieved in the empirical context of the Swedish mining and metals industry, and by investigating the environmental licensing processes during two regulatory systems. The paper derives an analytical framework that explores under what circumstances such licensing processes can result in radical emissions reductions without seriously jeopardizing the competitiveness of the industry. Archived material covering six environmental licensing processes, three during each system, is used to illustrate the various design and implementation issues. The results suggest that regulatory-driven green transitions benefit from trust-based bargaining procedures in which companies are involved in repeated interactions with regulatory authorities, and which extended probation periods permit tests of novel abatement technologies (including innovation). The findings also illustrate the importance of abstaining from simplified normative notions about policy instrument choice (e.g. taxes versus standards).}, number={6}, journal={Journal of Environmental Planning and Management}, publisher={Routledge}, author={Söderholm, Patrik and Bergquist, Ann-Kristin and Pettersson, Maria and Söderholm, Kristina}, year={2022}, month={May}, pages={1056–1087} }</w:t>
        </w:r>
      </w:hyperlink>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41">
        <w:r w:rsidDel="00000000" w:rsidR="00000000" w:rsidRPr="00000000">
          <w:rPr>
            <w:vertAlign w:val="baseline"/>
            <w:rtl w:val="0"/>
          </w:rPr>
          <w:t xml:space="preserve"> @article{Stuart_Benveniste_Harris_2014, title={Evaluating the use of an environmental assurance program to address pollution from United States cropland}, volume={39}, ISSN={02648377}, DOI={10.1016/j.landusepol.2014.03.009}, abstractNote={Voluntary market-based programs have been proposed as cost-effective means to reduce environmental impacts associated with agriculture. This study examines a relatively new program in Michigan USA, the Michigan Agriculture Environmental Assurance Program (MAEAP), and explores how it might serve to reduce nutrient pollution associated with intensive corn production. Interviews with corn farmers were used to explore reasons for program participation, the extent of management changes, and opinions regarding program effectiveness. Results indicate that most farmers enrolled in the program had already satisfied the majority of the requirements, therefore few changes were made that would result in environmental improvements. Interviews also revealed that in almost all cases, corn farmers were unable to market their products as MAEAP verified. Participation was largely driven by goals to avoid law enforcement and minor financial benefits through insurance discounts. Farmers indicated that a lack of monitoring and enforcement reduced the perceived effectiveness of the program. Most farmers favored direct payments through government conservation programs over MAEAP. This case illustrates the limitations of voluntary and market-based programs to address agri-environmental problems and supports the use of multiple policy approaches. © 2014 .}, journal={Land Use Policy}, publisher={Elsevier Ltd}, author={Stuart, D. and Benveniste, E. and Harris, L. M.}, year={2014}, pages={34–43} }</w:t>
        </w:r>
      </w:hyperlink>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42">
        <w:r w:rsidDel="00000000" w:rsidR="00000000" w:rsidRPr="00000000">
          <w:rPr>
            <w:vertAlign w:val="baseline"/>
            <w:rtl w:val="0"/>
          </w:rPr>
          <w:t xml:space="preserve"> @article{Sumner_2014, title={American Farms Keep Growing: Size, Productivity, and Policy}, volume={28}, ISSN={0895-3309}, DOI={10.1257/jep.28.1.147}, abstractNote={Commercial agriculture in the United States is comprised of several hundred thousand farms, and thesefarms continue to become larger and fewer. The size of commercial farms is sometimes best-measured bysales, in other cases by acreage, and in still other cases by quantity produced of specific commodities, butfor many commodities, size has doubled and doubled again in a generation. This article summarizes theeconomics of commercial agriculture in the United States, focusing on growth in farm size and otherchanges in size distribution in recent decades. I also consider the relationships between farm sizedistributions and farm productivity growth and farm subsidy policy.}, number={1}, journal={Journal of Economic Perspectives}, author={Sumner, Daniel A.}, year={2014}, month={Feb}, pages={147–166}, language={en} }</w:t>
        </w:r>
      </w:hyperlink>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43">
        <w:r w:rsidDel="00000000" w:rsidR="00000000" w:rsidRPr="00000000">
          <w:rPr>
            <w:vertAlign w:val="baseline"/>
            <w:rtl w:val="0"/>
          </w:rPr>
          <w:t xml:space="preserve"> @article{Sunstein_2017, title={Nudges that fail}, volume={1}, DOI={https://doi.org/10.1017/bpp.2016.3}, number={1}, journal={| Behavioural Public Policy}, author={Sunstein, Cass}, year={2017}, pages={4–25} }</w:t>
        </w:r>
      </w:hyperlink>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44">
        <w:r w:rsidDel="00000000" w:rsidR="00000000" w:rsidRPr="00000000">
          <w:rPr>
            <w:vertAlign w:val="baseline"/>
            <w:rtl w:val="0"/>
          </w:rPr>
          <w:t xml:space="preserve"> @misc{Team_2023, address={Vienna, Austria}, title={R: {A} language and environment for statistical computing}, url={https://www.r-project.org/}, note={Citation Key: r_core_team_r:_2018}, publisher={R Foundation for Statistical Computing}, author={Team, R Core}, year={2023} }</w:t>
        </w:r>
      </w:hyperlink>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45">
        <w:r w:rsidDel="00000000" w:rsidR="00000000" w:rsidRPr="00000000">
          <w:rPr>
            <w:vertAlign w:val="baseline"/>
            <w:rtl w:val="0"/>
          </w:rPr>
          <w:t xml:space="preserve"> @article{Thompson_Reimer_Prokopy_2015, title={Farmers’ views of the environment: the influence of competing attitude frames on landscape conservation efforts}, volume={32}, DOI={10.1007/s10460-014-9555-x}, abstractNote={Understanding factors that motivate farmers to perform conservation behaviors is seen as key to enhancing efforts to address agri-environmental challenges. This study uses survey data collected from 277 farmers in the La Moine River watershed in western Illinois to develop new measures of farmers’ environmental attitudes and examine their influence on current usage of agricultural best management practices (BMPs). The results suggest that a Dual Interest Theory approach reflecting two separate, competing psychological frames representing a stewardship view of the environment and a farm as a business (or profit maximization) view of the environment are present within the decision making domain. Using a cluster analysis technique to examine the interaction between these attitude frames reveals four groups of farmers who hold distinct views of the environment. Further exploration of these distinct belief systems reveals little evidence of differences in participation or willingness to participate in agricultural BMPs; however, we observe significant differences between these groups with regard to their willingness to support rural conservation planning priorities that address agri-environmental challenges. Further discussion focuses on the implications of these interactive dual interest ty-pologies and the implications of these findings on efforts to engage farmers in conservation efforts.}, journal={Agriculture and Human Values}, author={Thompson, Aaron W and Reimer, Adam and Prokopy, Linda S}, year={2015}, pages={385–399} }</w:t>
        </w:r>
      </w:hyperlink>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46">
        <w:r w:rsidDel="00000000" w:rsidR="00000000" w:rsidRPr="00000000">
          <w:rPr>
            <w:vertAlign w:val="baseline"/>
            <w:rtl w:val="0"/>
          </w:rPr>
          <w:t xml:space="preserve"> @book{USDA NOP_2015, title={Organic Practices Factsheet}, url={https://www.ams.usda.gov/sites/default/files/media/Organic%20Practices%20Factsheet.pdf}, institution={USDA NOP}, author={USDA NOP}, year={2015} }</w:t>
        </w:r>
      </w:hyperlink>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47">
        <w:r w:rsidDel="00000000" w:rsidR="00000000" w:rsidRPr="00000000">
          <w:rPr>
            <w:vertAlign w:val="baseline"/>
            <w:rtl w:val="0"/>
          </w:rPr>
          <w:t xml:space="preserve"> @article{Youngberg_DeMuth_2013, title={Organic agriculture in the United States: A 30-year retrospective}, volume={28}, ISSN={1742-1705, 1742-1713}, DOI={10.1017/S1742170513000173}, abstractNote={Since the early 1980s organic agriculture has undergone enormous growth and innovation in the US and throughout the world. Some observers have pointed to the US Department of Agriculture’s 1980 Report and Recommendations on Organic Farming as having provided the catalyst for many of these developments. It is important, however, to understand how the evolving character of organic ideology during the 1960s and 1970s helped lay the foundation for moving organic agriculture onto the US governmental agenda in the early 1980s. We explore these and other contextual factors surrounding the USDA Report’s release, including its methods, findings and recommendations, and both positive and negative reactions, as well as those factors that led to the Report’s declining influence by the decade’s end. The need for agricultural sustainability has played an important role in shaping, not only the path of organic agriculture in the US but also the overall politics of American agriculture. Legislative efforts to support organic agriculture have evolved along with this altered policy environment and are considered here within the broader context of the politics of sustainable agriculture. Next, we consider the organic industry’s transition from a privately managed enterprise to the pivotal role now played by the federal government in the administration of the National Organic Program. Calls to move ‘beyond organic’ are also examined. Finally, we explore the impact of sustainable agriculture, agricultural research and farm structure upon the future of organic agriculture in the US. The politics within these three interrelated domains of public agricultural policy will likely bear heavily upon the future of organic farming and the organic industry as a whole.}, number={4}, journal={Renewable Agriculture and Food Systems}, publisher={Cambridge University Press}, author={Youngberg, Garth and DeMuth, Suzanne P.}, year={2013}, month={Dec}, pages={294–328}, language={en} }</w:t>
        </w:r>
      </w:hyperlink>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sectPr>
      <w:footerReference r:id="rId148" w:type="default"/>
      <w:footerReference r:id="rId149"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Liza Wood" w:id="12" w:date="2023-09-03T15:58:25Z">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Beyond designing environmental and innovation policies appropriately</w:t>
      </w:r>
    </w:p>
  </w:comment>
  <w:comment w:author="Liza Wood" w:id="4" w:date="2023-08-16T10:36:44Z">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case of EU agriculture, derogations on the Nitrate Directive has allowed higher rates of nutrient discharge based on concentration of animal operations (Kruitwagen et al. 2009, Adenuga et al. 2020)</w:t>
      </w:r>
    </w:p>
  </w:comment>
  <w:comment w:author="Liza Wood" w:id="5" w:date="2023-08-19T09:48:38Z">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love a better example</w:t>
      </w:r>
    </w:p>
  </w:comment>
  <w:comment w:author="Liza Wood" w:id="7" w:date="2023-08-17T13:57:52Z">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though the NOSB has outlined supplemental guidance for growers and certifiers to help define relevant concepts and record seed sourcing efforts (NOSB 2018), the guidance still needs work (Hubbard et al. 2022)</w:t>
      </w:r>
    </w:p>
  </w:comment>
  <w:comment w:author="Liza Wood" w:id="8" w:date="2023-09-04T16:35:24Z">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MORE CITATIONS HERE</w:t>
      </w:r>
    </w:p>
  </w:comment>
  <w:comment w:author="Liza Wood" w:id="0" w:date="2023-08-16T11:40:11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do anything new? A lot of the attention on getting the policy design just right tends to treat firms as purely rational actors (Timbe and Winter 2015). But in reality, firm-level decisions are made by actors with varying risk tolerances, entrepreneurial initiatives, and environmental values and strategies (Ambec). This is especially true for agricultural settings, where farmers embrace business models that balance economic and environmental values. Based on this variation, farmers are likely to respond to environmental regulation differently.</w:t>
      </w:r>
    </w:p>
  </w:comment>
  <w:comment w:author="Liza Wood" w:id="1" w:date="2023-08-20T09:51:33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Assumption is always: "firms choose to join a voluntary club (and produce the environmental externalities it requires) in response to the costs of externality production and the returns from affiliating with the voluntary club brand" (Prakash and Potoksi 2007)</w:t>
      </w:r>
    </w:p>
  </w:comment>
  <w:comment w:author="Liza Wood" w:id="6" w:date="2023-09-05T07:55:10Z">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2004 but eliminated because easier for citation programming</w:t>
      </w:r>
    </w:p>
  </w:comment>
  <w:comment w:author="Liza Wood" w:id="9" w:date="2023-08-17T10:48:28Z">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while this pitting of small agrarian vs. large conventional is reductive, reflections a real tension between farmers focused on practice, in the technical sense, and farmers focused on principles (Darnhofer 2010, Guthman 2014)</w:t>
      </w:r>
    </w:p>
  </w:comment>
  <w:comment w:author="Liza Wood" w:id="11" w:date="2023-08-20T13:30:21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context of balancing environmental policy stringency and flexibility, support for our first hypotheses – that the loophole relieves burden from growers who have trouble sourcing organic seed – makes the case that flexibility does have its benefits. Growers are able to keep participating in organic production because they are given an allowance. At the same time, support for our second hypotheses – that flexibility is used more by less organically 'principled' farmers – suggests that the flexibility can be abused. Flexibility in terms of exceptions that are discretionary are likely allowing some growers to continue to do the bare minimum, essentially free-riding on the leniency granted to farmers facing more considerable barriers.</w:t>
      </w:r>
    </w:p>
  </w:comment>
  <w:comment w:author="Neil McRoberts" w:id="2" w:date="2023-09-02T08:15:21Z">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Many interesting tangential discussions about policy design and the motivations for policy makers are possible here.  It's definitely the case that some larger crop production companies have organic lines for reasons that are more commercial than philosophical. Do policy makers want to differentiate between producers who are committed to the ethos of organic production, but not large-scale producers whose organic lines are sometimes simply a way to tap into a market niche while also green-washing their own activity?  The organic seed policy area seems to call for more nuanced policy setting, but then we have the counter to that laid out in the famous "Fuck Nuance" critique of policy analysis? Not offering a path forward here, just making the point that you'll have to set some clear boundaries around what your paper wants to achieve.</w:t>
      </w:r>
    </w:p>
  </w:comment>
  <w:comment w:author="Liza Wood" w:id="3" w:date="2023-08-16T10:23:00Z">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Flexibility doesn't always mean voluntary. Mandatory can still be soft, such as mandatory plan writing with little enforcement (Perez 2015, Osmond 2015). And voluntary can have burdensome requirements, for example excessive bureaucracy and changing standards may make participants exit, as in the case of organic certifications (Flaten et al. 2010).</w:t>
      </w:r>
    </w:p>
  </w:comment>
  <w:comment w:author="Liza Wood" w:id="10" w:date="2023-08-17T10:46:27Z">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model of conventional farming has been made organic mainly through input substitution in order to gain premiums, and relying on exceptions or flexible/watered-down standards that growers who pioneered the original movement disagree with.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2">
    <w:p w:rsidR="00000000" w:rsidDel="00000000" w:rsidP="00000000" w:rsidRDefault="00000000" w:rsidRPr="00000000" w14:paraId="0000019A">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If organic seeds, seedlings and planting materials are not commercially available, then conventional, chemically untreated seed, seedlings and planting material may be used. Only if these are not commercially available may chemically treated seeds, seedlings and planting materials be used. The operator shall demonstrate the apparent need for such use." (</w:t>
      </w:r>
      <w:r w:rsidDel="00000000" w:rsidR="00000000" w:rsidRPr="00000000">
        <w:rPr>
          <w:rFonts w:ascii="Times New Roman" w:cs="Times New Roman" w:eastAsia="Times New Roman" w:hAnsi="Times New Roman"/>
          <w:sz w:val="20"/>
          <w:szCs w:val="20"/>
          <w:rtl w:val="0"/>
        </w:rPr>
        <w:t xml:space="preserve">Kilimohai Organic, East African Organic Product Standards</w:t>
      </w:r>
      <w:r w:rsidDel="00000000" w:rsidR="00000000" w:rsidRPr="00000000">
        <w:rPr>
          <w:rFonts w:ascii="Times New Roman" w:cs="Times New Roman" w:eastAsia="Times New Roman" w:hAnsi="Times New Roman"/>
          <w:sz w:val="20"/>
          <w:szCs w:val="20"/>
          <w:rtl w:val="0"/>
        </w:rPr>
        <w:t xml:space="preserve">)</w:t>
      </w:r>
    </w:p>
  </w:footnote>
  <w:footnote w:id="0">
    <w:p w:rsidR="00000000" w:rsidDel="00000000" w:rsidP="00000000" w:rsidRDefault="00000000" w:rsidRPr="00000000" w14:paraId="0000019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 equivalent organically produced variety is not commercially available" (USDA NOP 7 CFR § 205.204).</w:t>
      </w:r>
      <w:r w:rsidDel="00000000" w:rsidR="00000000" w:rsidRPr="00000000">
        <w:rPr>
          <w:rtl w:val="0"/>
        </w:rPr>
      </w:r>
    </w:p>
  </w:footnote>
  <w:footnote w:id="1">
    <w:p w:rsidR="00000000" w:rsidDel="00000000" w:rsidP="00000000" w:rsidRDefault="00000000" w:rsidRPr="00000000" w14:paraId="0000019C">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"When there are no organic or in-conversion seeds or vegetative propagating material of a suitable variety available you may use non-organic" (UK Soil Association via (EC) 834/2007 Art. 22(2)(b) (EC) 889/2008 Art. 45(1)(b))</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1S2L1j" TargetMode="External"/><Relationship Id="rId42" Type="http://schemas.openxmlformats.org/officeDocument/2006/relationships/hyperlink" Target="https://www.zotero.org/google-docs/?7DZmBr" TargetMode="External"/><Relationship Id="rId41" Type="http://schemas.openxmlformats.org/officeDocument/2006/relationships/hyperlink" Target="https://www.zotero.org/google-docs/?fgXfKG" TargetMode="External"/><Relationship Id="rId44" Type="http://schemas.openxmlformats.org/officeDocument/2006/relationships/hyperlink" Target="https://www.zotero.org/google-docs/?Oa2IeL" TargetMode="External"/><Relationship Id="rId43" Type="http://schemas.openxmlformats.org/officeDocument/2006/relationships/hyperlink" Target="https://www.zotero.org/google-docs/?LeYrjL" TargetMode="External"/><Relationship Id="rId46" Type="http://schemas.openxmlformats.org/officeDocument/2006/relationships/hyperlink" Target="https://www.zotero.org/google-docs/?9GS2e6" TargetMode="External"/><Relationship Id="rId45" Type="http://schemas.openxmlformats.org/officeDocument/2006/relationships/hyperlink" Target="https://www.zotero.org/google-docs/?FI07wa" TargetMode="External"/><Relationship Id="rId107" Type="http://schemas.openxmlformats.org/officeDocument/2006/relationships/hyperlink" Target="https://www.zotero.org/google-docs/?p5pDZ0" TargetMode="External"/><Relationship Id="rId106" Type="http://schemas.openxmlformats.org/officeDocument/2006/relationships/hyperlink" Target="https://www.zotero.org/google-docs/?p5pDZ0" TargetMode="External"/><Relationship Id="rId105" Type="http://schemas.openxmlformats.org/officeDocument/2006/relationships/hyperlink" Target="https://www.zotero.org/google-docs/?p5pDZ0" TargetMode="External"/><Relationship Id="rId104" Type="http://schemas.openxmlformats.org/officeDocument/2006/relationships/hyperlink" Target="https://www.zotero.org/google-docs/?p5pDZ0" TargetMode="External"/><Relationship Id="rId109" Type="http://schemas.openxmlformats.org/officeDocument/2006/relationships/hyperlink" Target="https://www.zotero.org/google-docs/?p5pDZ0" TargetMode="External"/><Relationship Id="rId108" Type="http://schemas.openxmlformats.org/officeDocument/2006/relationships/hyperlink" Target="https://www.zotero.org/google-docs/?p5pDZ0" TargetMode="External"/><Relationship Id="rId48" Type="http://schemas.openxmlformats.org/officeDocument/2006/relationships/hyperlink" Target="https://www.zotero.org/google-docs/?TEco8O" TargetMode="External"/><Relationship Id="rId47" Type="http://schemas.openxmlformats.org/officeDocument/2006/relationships/hyperlink" Target="https://www.zotero.org/google-docs/?YYb084" TargetMode="External"/><Relationship Id="rId49" Type="http://schemas.openxmlformats.org/officeDocument/2006/relationships/hyperlink" Target="https://www.zotero.org/google-docs/?APCLxj" TargetMode="External"/><Relationship Id="rId103" Type="http://schemas.openxmlformats.org/officeDocument/2006/relationships/hyperlink" Target="https://www.zotero.org/google-docs/?p5pDZ0" TargetMode="External"/><Relationship Id="rId102" Type="http://schemas.openxmlformats.org/officeDocument/2006/relationships/hyperlink" Target="https://www.zotero.org/google-docs/?p5pDZ0" TargetMode="External"/><Relationship Id="rId101" Type="http://schemas.openxmlformats.org/officeDocument/2006/relationships/hyperlink" Target="https://www.zotero.org/google-docs/?p5pDZ0" TargetMode="External"/><Relationship Id="rId100" Type="http://schemas.openxmlformats.org/officeDocument/2006/relationships/hyperlink" Target="https://www.zotero.org/google-docs/?p5pDZ0" TargetMode="External"/><Relationship Id="rId31" Type="http://schemas.openxmlformats.org/officeDocument/2006/relationships/hyperlink" Target="https://www.zotero.org/google-docs/?rxsyed" TargetMode="External"/><Relationship Id="rId30" Type="http://schemas.openxmlformats.org/officeDocument/2006/relationships/hyperlink" Target="https://www.zotero.org/google-docs/?ZEodjO" TargetMode="External"/><Relationship Id="rId33" Type="http://schemas.openxmlformats.org/officeDocument/2006/relationships/hyperlink" Target="https://www.zotero.org/google-docs/?F1IkAq" TargetMode="External"/><Relationship Id="rId32" Type="http://schemas.openxmlformats.org/officeDocument/2006/relationships/hyperlink" Target="https://www.zotero.org/google-docs/?MCbwPc" TargetMode="External"/><Relationship Id="rId35" Type="http://schemas.openxmlformats.org/officeDocument/2006/relationships/hyperlink" Target="https://www.zotero.org/google-docs/?LjgIHJ" TargetMode="External"/><Relationship Id="rId34" Type="http://schemas.openxmlformats.org/officeDocument/2006/relationships/hyperlink" Target="https://www.zotero.org/google-docs/?LjgIHJ" TargetMode="External"/><Relationship Id="rId37" Type="http://schemas.openxmlformats.org/officeDocument/2006/relationships/hyperlink" Target="https://www.zotero.org/google-docs/?eApoaQ" TargetMode="External"/><Relationship Id="rId36" Type="http://schemas.openxmlformats.org/officeDocument/2006/relationships/hyperlink" Target="https://www.zotero.org/google-docs/?gbclRN" TargetMode="External"/><Relationship Id="rId39" Type="http://schemas.openxmlformats.org/officeDocument/2006/relationships/hyperlink" Target="https://www.zotero.org/google-docs/?EBYdKQ" TargetMode="External"/><Relationship Id="rId38" Type="http://schemas.openxmlformats.org/officeDocument/2006/relationships/hyperlink" Target="https://www.zotero.org/google-docs/?Tdy1ya" TargetMode="External"/><Relationship Id="rId20" Type="http://schemas.openxmlformats.org/officeDocument/2006/relationships/hyperlink" Target="https://www.zotero.org/google-docs/?IW9uJa" TargetMode="External"/><Relationship Id="rId22" Type="http://schemas.openxmlformats.org/officeDocument/2006/relationships/hyperlink" Target="https://www.zotero.org/google-docs/?yVfQcI" TargetMode="External"/><Relationship Id="rId21" Type="http://schemas.openxmlformats.org/officeDocument/2006/relationships/hyperlink" Target="https://www.zotero.org/google-docs/?fxTgVG" TargetMode="External"/><Relationship Id="rId24" Type="http://schemas.openxmlformats.org/officeDocument/2006/relationships/hyperlink" Target="https://www.zotero.org/google-docs/?5udByk" TargetMode="External"/><Relationship Id="rId23" Type="http://schemas.openxmlformats.org/officeDocument/2006/relationships/hyperlink" Target="https://www.zotero.org/google-docs/?ARRhbo" TargetMode="External"/><Relationship Id="rId129" Type="http://schemas.openxmlformats.org/officeDocument/2006/relationships/hyperlink" Target="https://www.zotero.org/google-docs/?p5pDZ0" TargetMode="External"/><Relationship Id="rId128" Type="http://schemas.openxmlformats.org/officeDocument/2006/relationships/hyperlink" Target="https://www.zotero.org/google-docs/?p5pDZ0" TargetMode="External"/><Relationship Id="rId127" Type="http://schemas.openxmlformats.org/officeDocument/2006/relationships/hyperlink" Target="https://www.zotero.org/google-docs/?p5pDZ0" TargetMode="External"/><Relationship Id="rId126" Type="http://schemas.openxmlformats.org/officeDocument/2006/relationships/hyperlink" Target="https://www.zotero.org/google-docs/?p5pDZ0" TargetMode="External"/><Relationship Id="rId26" Type="http://schemas.openxmlformats.org/officeDocument/2006/relationships/hyperlink" Target="https://www.zotero.org/google-docs/?OTuqbw" TargetMode="External"/><Relationship Id="rId121" Type="http://schemas.openxmlformats.org/officeDocument/2006/relationships/hyperlink" Target="https://www.zotero.org/google-docs/?p5pDZ0" TargetMode="External"/><Relationship Id="rId25" Type="http://schemas.openxmlformats.org/officeDocument/2006/relationships/hyperlink" Target="https://www.zotero.org/google-docs/?hg5uj1" TargetMode="External"/><Relationship Id="rId120" Type="http://schemas.openxmlformats.org/officeDocument/2006/relationships/hyperlink" Target="https://www.zotero.org/google-docs/?p5pDZ0" TargetMode="External"/><Relationship Id="rId28" Type="http://schemas.openxmlformats.org/officeDocument/2006/relationships/hyperlink" Target="https://www.zotero.org/google-docs/?22SWAn" TargetMode="External"/><Relationship Id="rId27" Type="http://schemas.openxmlformats.org/officeDocument/2006/relationships/hyperlink" Target="https://www.zotero.org/google-docs/?jKk8HV" TargetMode="External"/><Relationship Id="rId125" Type="http://schemas.openxmlformats.org/officeDocument/2006/relationships/hyperlink" Target="https://www.zotero.org/google-docs/?p5pDZ0" TargetMode="External"/><Relationship Id="rId29" Type="http://schemas.openxmlformats.org/officeDocument/2006/relationships/hyperlink" Target="https://www.zotero.org/google-docs/?kDK5lF" TargetMode="External"/><Relationship Id="rId124" Type="http://schemas.openxmlformats.org/officeDocument/2006/relationships/hyperlink" Target="https://www.zotero.org/google-docs/?p5pDZ0" TargetMode="External"/><Relationship Id="rId123" Type="http://schemas.openxmlformats.org/officeDocument/2006/relationships/hyperlink" Target="https://www.zotero.org/google-docs/?p5pDZ0" TargetMode="External"/><Relationship Id="rId122" Type="http://schemas.openxmlformats.org/officeDocument/2006/relationships/hyperlink" Target="https://www.zotero.org/google-docs/?p5pDZ0" TargetMode="External"/><Relationship Id="rId95" Type="http://schemas.openxmlformats.org/officeDocument/2006/relationships/hyperlink" Target="https://www.zotero.org/google-docs/?p5pDZ0" TargetMode="External"/><Relationship Id="rId94" Type="http://schemas.openxmlformats.org/officeDocument/2006/relationships/hyperlink" Target="https://www.zotero.org/google-docs/?p5pDZ0" TargetMode="External"/><Relationship Id="rId97" Type="http://schemas.openxmlformats.org/officeDocument/2006/relationships/hyperlink" Target="https://www.zotero.org/google-docs/?p5pDZ0" TargetMode="External"/><Relationship Id="rId96" Type="http://schemas.openxmlformats.org/officeDocument/2006/relationships/hyperlink" Target="https://www.zotero.org/google-docs/?p5pDZ0" TargetMode="External"/><Relationship Id="rId11" Type="http://schemas.openxmlformats.org/officeDocument/2006/relationships/hyperlink" Target="https://www.zotero.org/google-docs/?URs8Pi" TargetMode="External"/><Relationship Id="rId99" Type="http://schemas.openxmlformats.org/officeDocument/2006/relationships/hyperlink" Target="https://www.zotero.org/google-docs/?p5pDZ0" TargetMode="External"/><Relationship Id="rId10" Type="http://schemas.openxmlformats.org/officeDocument/2006/relationships/hyperlink" Target="https://www.zotero.org/google-docs/?da4JrP" TargetMode="External"/><Relationship Id="rId98" Type="http://schemas.openxmlformats.org/officeDocument/2006/relationships/hyperlink" Target="https://www.zotero.org/google-docs/?p5pDZ0" TargetMode="External"/><Relationship Id="rId13" Type="http://schemas.openxmlformats.org/officeDocument/2006/relationships/hyperlink" Target="https://www.zotero.org/google-docs/?MGZzIl" TargetMode="External"/><Relationship Id="rId12" Type="http://schemas.openxmlformats.org/officeDocument/2006/relationships/hyperlink" Target="https://www.zotero.org/google-docs/?IHDNNh" TargetMode="External"/><Relationship Id="rId91" Type="http://schemas.openxmlformats.org/officeDocument/2006/relationships/hyperlink" Target="https://www.zotero.org/google-docs/?p5pDZ0" TargetMode="External"/><Relationship Id="rId90" Type="http://schemas.openxmlformats.org/officeDocument/2006/relationships/hyperlink" Target="https://www.zotero.org/google-docs/?p5pDZ0" TargetMode="External"/><Relationship Id="rId93" Type="http://schemas.openxmlformats.org/officeDocument/2006/relationships/hyperlink" Target="https://www.zotero.org/google-docs/?p5pDZ0" TargetMode="External"/><Relationship Id="rId92" Type="http://schemas.openxmlformats.org/officeDocument/2006/relationships/hyperlink" Target="https://www.zotero.org/google-docs/?p5pDZ0" TargetMode="External"/><Relationship Id="rId118" Type="http://schemas.openxmlformats.org/officeDocument/2006/relationships/hyperlink" Target="https://www.zotero.org/google-docs/?p5pDZ0" TargetMode="External"/><Relationship Id="rId117" Type="http://schemas.openxmlformats.org/officeDocument/2006/relationships/hyperlink" Target="https://www.zotero.org/google-docs/?p5pDZ0" TargetMode="External"/><Relationship Id="rId116" Type="http://schemas.openxmlformats.org/officeDocument/2006/relationships/hyperlink" Target="https://www.zotero.org/google-docs/?p5pDZ0" TargetMode="External"/><Relationship Id="rId115" Type="http://schemas.openxmlformats.org/officeDocument/2006/relationships/hyperlink" Target="https://www.zotero.org/google-docs/?p5pDZ0" TargetMode="External"/><Relationship Id="rId119" Type="http://schemas.openxmlformats.org/officeDocument/2006/relationships/hyperlink" Target="https://www.zotero.org/google-docs/?p5pDZ0" TargetMode="External"/><Relationship Id="rId15" Type="http://schemas.openxmlformats.org/officeDocument/2006/relationships/hyperlink" Target="https://www.zotero.org/google-docs/?FafleG" TargetMode="External"/><Relationship Id="rId110" Type="http://schemas.openxmlformats.org/officeDocument/2006/relationships/hyperlink" Target="https://www.zotero.org/google-docs/?p5pDZ0" TargetMode="External"/><Relationship Id="rId14" Type="http://schemas.openxmlformats.org/officeDocument/2006/relationships/hyperlink" Target="https://www.zotero.org/google-docs/?xaqSoq" TargetMode="External"/><Relationship Id="rId17" Type="http://schemas.openxmlformats.org/officeDocument/2006/relationships/hyperlink" Target="https://www.zotero.org/google-docs/?n8Cf9g" TargetMode="External"/><Relationship Id="rId16" Type="http://schemas.openxmlformats.org/officeDocument/2006/relationships/hyperlink" Target="https://www.zotero.org/google-docs/?QJzzos" TargetMode="External"/><Relationship Id="rId19" Type="http://schemas.openxmlformats.org/officeDocument/2006/relationships/hyperlink" Target="https://www.zotero.org/google-docs/?QqLI8t" TargetMode="External"/><Relationship Id="rId114" Type="http://schemas.openxmlformats.org/officeDocument/2006/relationships/hyperlink" Target="https://www.zotero.org/google-docs/?p5pDZ0" TargetMode="External"/><Relationship Id="rId18" Type="http://schemas.openxmlformats.org/officeDocument/2006/relationships/hyperlink" Target="https://www.zotero.org/google-docs/?0aKnJP" TargetMode="External"/><Relationship Id="rId113" Type="http://schemas.openxmlformats.org/officeDocument/2006/relationships/hyperlink" Target="https://www.zotero.org/google-docs/?p5pDZ0" TargetMode="External"/><Relationship Id="rId112" Type="http://schemas.openxmlformats.org/officeDocument/2006/relationships/hyperlink" Target="https://www.zotero.org/google-docs/?p5pDZ0" TargetMode="External"/><Relationship Id="rId111" Type="http://schemas.openxmlformats.org/officeDocument/2006/relationships/hyperlink" Target="https://www.zotero.org/google-docs/?p5pDZ0" TargetMode="External"/><Relationship Id="rId84" Type="http://schemas.openxmlformats.org/officeDocument/2006/relationships/hyperlink" Target="https://www.zotero.org/google-docs/?MPuS96" TargetMode="External"/><Relationship Id="rId83" Type="http://schemas.openxmlformats.org/officeDocument/2006/relationships/hyperlink" Target="https://www.zotero.org/google-docs/?eAROQB" TargetMode="External"/><Relationship Id="rId86" Type="http://schemas.openxmlformats.org/officeDocument/2006/relationships/hyperlink" Target="https://www.zotero.org/google-docs/?6D4CKn" TargetMode="External"/><Relationship Id="rId85" Type="http://schemas.openxmlformats.org/officeDocument/2006/relationships/hyperlink" Target="https://www.zotero.org/google-docs/?ah4va6" TargetMode="External"/><Relationship Id="rId88" Type="http://schemas.openxmlformats.org/officeDocument/2006/relationships/hyperlink" Target="https://www.zotero.org/google-docs/?p5pDZ0" TargetMode="External"/><Relationship Id="rId87" Type="http://schemas.openxmlformats.org/officeDocument/2006/relationships/hyperlink" Target="https://www.zotero.org/google-docs/?p5pDZ0" TargetMode="External"/><Relationship Id="rId89" Type="http://schemas.openxmlformats.org/officeDocument/2006/relationships/hyperlink" Target="https://www.zotero.org/google-docs/?p5pDZ0" TargetMode="External"/><Relationship Id="rId80" Type="http://schemas.openxmlformats.org/officeDocument/2006/relationships/hyperlink" Target="https://www.zotero.org/google-docs/?vLShVo" TargetMode="External"/><Relationship Id="rId82" Type="http://schemas.openxmlformats.org/officeDocument/2006/relationships/hyperlink" Target="https://www.zotero.org/google-docs/?SpKqft" TargetMode="External"/><Relationship Id="rId81" Type="http://schemas.openxmlformats.org/officeDocument/2006/relationships/hyperlink" Target="https://www.zotero.org/google-docs/?IwHCzD"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footer" Target="footer1.xml"/><Relationship Id="rId4" Type="http://schemas.openxmlformats.org/officeDocument/2006/relationships/fontTable" Target="fontTable.xml"/><Relationship Id="rId148" Type="http://schemas.openxmlformats.org/officeDocument/2006/relationships/footer" Target="footer2.xml"/><Relationship Id="rId9" Type="http://schemas.openxmlformats.org/officeDocument/2006/relationships/hyperlink" Target="https://www.elsevier.com/journals/journal-of-environmental-management/0301-4797/guide-for-authors" TargetMode="External"/><Relationship Id="rId143" Type="http://schemas.openxmlformats.org/officeDocument/2006/relationships/hyperlink" Target="https://www.zotero.org/google-docs/?p5pDZ0" TargetMode="External"/><Relationship Id="rId142" Type="http://schemas.openxmlformats.org/officeDocument/2006/relationships/hyperlink" Target="https://www.zotero.org/google-docs/?p5pDZ0" TargetMode="External"/><Relationship Id="rId141" Type="http://schemas.openxmlformats.org/officeDocument/2006/relationships/hyperlink" Target="https://www.zotero.org/google-docs/?p5pDZ0" TargetMode="External"/><Relationship Id="rId140" Type="http://schemas.openxmlformats.org/officeDocument/2006/relationships/hyperlink" Target="https://www.zotero.org/google-docs/?p5pDZ0" TargetMode="External"/><Relationship Id="rId5" Type="http://schemas.openxmlformats.org/officeDocument/2006/relationships/footnotes" Target="footnotes.xml"/><Relationship Id="rId147" Type="http://schemas.openxmlformats.org/officeDocument/2006/relationships/hyperlink" Target="https://www.zotero.org/google-docs/?p5pDZ0" TargetMode="External"/><Relationship Id="rId6" Type="http://schemas.openxmlformats.org/officeDocument/2006/relationships/numbering" Target="numbering.xml"/><Relationship Id="rId146" Type="http://schemas.openxmlformats.org/officeDocument/2006/relationships/hyperlink" Target="https://www.zotero.org/google-docs/?p5pDZ0" TargetMode="External"/><Relationship Id="rId7" Type="http://schemas.openxmlformats.org/officeDocument/2006/relationships/styles" Target="styles.xml"/><Relationship Id="rId145" Type="http://schemas.openxmlformats.org/officeDocument/2006/relationships/hyperlink" Target="https://www.zotero.org/google-docs/?p5pDZ0" TargetMode="External"/><Relationship Id="rId8" Type="http://schemas.openxmlformats.org/officeDocument/2006/relationships/hyperlink" Target="https://www.elsevier.com/wps/find/journaldescription.cws_home/405851?generatepdf=true" TargetMode="External"/><Relationship Id="rId144" Type="http://schemas.openxmlformats.org/officeDocument/2006/relationships/hyperlink" Target="https://www.zotero.org/google-docs/?p5pDZ0" TargetMode="External"/><Relationship Id="rId73" Type="http://schemas.openxmlformats.org/officeDocument/2006/relationships/hyperlink" Target="https://www.zotero.org/google-docs/?QNSeut" TargetMode="External"/><Relationship Id="rId72" Type="http://schemas.openxmlformats.org/officeDocument/2006/relationships/hyperlink" Target="https://www.zotero.org/google-docs/?HyHPWZ" TargetMode="External"/><Relationship Id="rId75" Type="http://schemas.openxmlformats.org/officeDocument/2006/relationships/hyperlink" Target="https://www.zotero.org/google-docs/?W72zYF" TargetMode="External"/><Relationship Id="rId74" Type="http://schemas.openxmlformats.org/officeDocument/2006/relationships/hyperlink" Target="https://www.zotero.org/google-docs/?ZLhpQh" TargetMode="External"/><Relationship Id="rId77" Type="http://schemas.openxmlformats.org/officeDocument/2006/relationships/hyperlink" Target="https://www.zotero.org/google-docs/?DUYG7A" TargetMode="External"/><Relationship Id="rId76" Type="http://schemas.openxmlformats.org/officeDocument/2006/relationships/hyperlink" Target="https://www.zotero.org/google-docs/?gMRrcn" TargetMode="External"/><Relationship Id="rId79" Type="http://schemas.openxmlformats.org/officeDocument/2006/relationships/hyperlink" Target="https://www.zotero.org/google-docs/?jaPUbQ" TargetMode="External"/><Relationship Id="rId78" Type="http://schemas.openxmlformats.org/officeDocument/2006/relationships/hyperlink" Target="https://www.zotero.org/google-docs/?AcfA9L" TargetMode="External"/><Relationship Id="rId71" Type="http://schemas.openxmlformats.org/officeDocument/2006/relationships/hyperlink" Target="https://www.zotero.org/google-docs/?cJSnUR" TargetMode="External"/><Relationship Id="rId70" Type="http://schemas.openxmlformats.org/officeDocument/2006/relationships/hyperlink" Target="https://www.zotero.org/google-docs/?E13btn" TargetMode="External"/><Relationship Id="rId139" Type="http://schemas.openxmlformats.org/officeDocument/2006/relationships/hyperlink" Target="https://www.zotero.org/google-docs/?p5pDZ0" TargetMode="External"/><Relationship Id="rId138" Type="http://schemas.openxmlformats.org/officeDocument/2006/relationships/hyperlink" Target="https://www.zotero.org/google-docs/?p5pDZ0" TargetMode="External"/><Relationship Id="rId137" Type="http://schemas.openxmlformats.org/officeDocument/2006/relationships/hyperlink" Target="https://www.zotero.org/google-docs/?p5pDZ0" TargetMode="External"/><Relationship Id="rId132" Type="http://schemas.openxmlformats.org/officeDocument/2006/relationships/hyperlink" Target="https://www.zotero.org/google-docs/?p5pDZ0" TargetMode="External"/><Relationship Id="rId131" Type="http://schemas.openxmlformats.org/officeDocument/2006/relationships/hyperlink" Target="https://www.zotero.org/google-docs/?p5pDZ0" TargetMode="External"/><Relationship Id="rId130" Type="http://schemas.openxmlformats.org/officeDocument/2006/relationships/hyperlink" Target="https://www.zotero.org/google-docs/?p5pDZ0" TargetMode="External"/><Relationship Id="rId136" Type="http://schemas.openxmlformats.org/officeDocument/2006/relationships/hyperlink" Target="https://www.zotero.org/google-docs/?p5pDZ0" TargetMode="External"/><Relationship Id="rId135" Type="http://schemas.openxmlformats.org/officeDocument/2006/relationships/hyperlink" Target="https://www.zotero.org/google-docs/?p5pDZ0" TargetMode="External"/><Relationship Id="rId134" Type="http://schemas.openxmlformats.org/officeDocument/2006/relationships/hyperlink" Target="https://www.zotero.org/google-docs/?p5pDZ0" TargetMode="External"/><Relationship Id="rId133" Type="http://schemas.openxmlformats.org/officeDocument/2006/relationships/hyperlink" Target="https://www.zotero.org/google-docs/?p5pDZ0" TargetMode="External"/><Relationship Id="rId62" Type="http://schemas.openxmlformats.org/officeDocument/2006/relationships/hyperlink" Target="https://www.zotero.org/google-docs/?EGhP03" TargetMode="External"/><Relationship Id="rId61" Type="http://schemas.openxmlformats.org/officeDocument/2006/relationships/hyperlink" Target="https://www.zotero.org/google-docs/?2CXmw6" TargetMode="External"/><Relationship Id="rId64" Type="http://schemas.openxmlformats.org/officeDocument/2006/relationships/hyperlink" Target="https://www.zotero.org/google-docs/?nFrqX0" TargetMode="External"/><Relationship Id="rId63" Type="http://schemas.openxmlformats.org/officeDocument/2006/relationships/hyperlink" Target="https://www.zotero.org/google-docs/?nfiL40" TargetMode="External"/><Relationship Id="rId66" Type="http://schemas.openxmlformats.org/officeDocument/2006/relationships/hyperlink" Target="https://www.zotero.org/google-docs/?nA62dA" TargetMode="External"/><Relationship Id="rId65" Type="http://schemas.openxmlformats.org/officeDocument/2006/relationships/hyperlink" Target="https://www.zotero.org/google-docs/?XATSln" TargetMode="External"/><Relationship Id="rId68" Type="http://schemas.openxmlformats.org/officeDocument/2006/relationships/hyperlink" Target="https://www.zotero.org/google-docs/?p4QCsU" TargetMode="External"/><Relationship Id="rId67" Type="http://schemas.openxmlformats.org/officeDocument/2006/relationships/hyperlink" Target="https://www.zotero.org/google-docs/?Vq2O8z" TargetMode="External"/><Relationship Id="rId60" Type="http://schemas.openxmlformats.org/officeDocument/2006/relationships/hyperlink" Target="https://www.zotero.org/google-docs/?vfqMA2" TargetMode="External"/><Relationship Id="rId69" Type="http://schemas.openxmlformats.org/officeDocument/2006/relationships/hyperlink" Target="https://www.zotero.org/google-docs/?j0BhOt" TargetMode="External"/><Relationship Id="rId51" Type="http://schemas.openxmlformats.org/officeDocument/2006/relationships/hyperlink" Target="https://www.zotero.org/google-docs/?wkeyoq" TargetMode="External"/><Relationship Id="rId50" Type="http://schemas.openxmlformats.org/officeDocument/2006/relationships/hyperlink" Target="https://www.zotero.org/google-docs/?cZOkOJ" TargetMode="External"/><Relationship Id="rId53" Type="http://schemas.openxmlformats.org/officeDocument/2006/relationships/hyperlink" Target="https://www.zotero.org/google-docs/?bIPPLQ" TargetMode="External"/><Relationship Id="rId52" Type="http://schemas.openxmlformats.org/officeDocument/2006/relationships/hyperlink" Target="https://www.zotero.org/google-docs/?e9Zt4E" TargetMode="External"/><Relationship Id="rId55" Type="http://schemas.openxmlformats.org/officeDocument/2006/relationships/hyperlink" Target="https://www.zotero.org/google-docs/?do0rAH" TargetMode="External"/><Relationship Id="rId54" Type="http://schemas.openxmlformats.org/officeDocument/2006/relationships/hyperlink" Target="https://www.zotero.org/google-docs/?ULkZyb" TargetMode="External"/><Relationship Id="rId57" Type="http://schemas.openxmlformats.org/officeDocument/2006/relationships/hyperlink" Target="https://www.zotero.org/google-docs/?cnJvbl" TargetMode="External"/><Relationship Id="rId56" Type="http://schemas.openxmlformats.org/officeDocument/2006/relationships/hyperlink" Target="https://www.zotero.org/google-docs/?UuOOfr" TargetMode="External"/><Relationship Id="rId59" Type="http://schemas.openxmlformats.org/officeDocument/2006/relationships/hyperlink" Target="https://www.zotero.org/google-docs/?LUhUSL" TargetMode="External"/><Relationship Id="rId58" Type="http://schemas.openxmlformats.org/officeDocument/2006/relationships/hyperlink" Target="https://www.zotero.org/google-docs/?9vniY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