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432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Questions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Cronach.s.alpha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Construction</w:t>
            </w:r>
          </w:p>
        </w:tc>
      </w:tr>
      <w:tr>
        <w:trPr>
          <w:trHeight w:val="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 the last three years, how much were each of the following a factor in your decision NOT to purchase organic seed?</w:t>
            </w:r>
            <w:r>
              <w:rPr>
                <w:rFonts w:ascii="Times" w:hAnsi="Times" w:eastAsia="Times" w:cs="Times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Availability: Variety is not available as organic (a_1)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Quality: Lack of desirable genetic traits (a_2)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Quantity: Insufficient quantity of seed (a_3)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Form: Lack of seed treatments such as pelleting or priming (a_4)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Price (a_5)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Buyer requirement: Processor/buyer requires or supplies varieties that are not available organically (a_6)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Please indicate the extent to which you disagree or agree with the following statements: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Organic seed is important in maintaining the integrity of organic food production:(d_1)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Varieties bred for organic system management are important to the overall success of organic agriculture (d_2)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This scale was reversed to represent ability, so that lower scores suggest lower ability (e.g. 1 = significant factor (low ability) and 4 = not a factor (high ability))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2025-12-22T12:26:36Z</dcterms:modified>
  <cp:category/>
</cp:coreProperties>
</file>