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pStyle w:val="Title"/></w:pPr><w:r><w:t>PHP2Shell attack analysis</w:t></w:r></w:p><w:p><w:r><w:t>Lab 1 | CTI evidence, MITRE ATT&amp;CK mapping and SOC investigation</w:t></w:r></w:p><w:p><w:r><w:t>Group members: Elizabetha Afonin</w:t><w:br/><w:t>Submission date: 28 October 2026</w:t></w:r></w:p><w:p><w:pPr><w:pStyle w:val="Heading1"/></w:pPr><w:r><w:t>1  Selected CTI report</w:t></w:r></w:p><w:p><w:r><w:t>Adel Karimi (0x4D31). “PHP2Shell exploitation observed: packet-to-process RCE evidence.” Published in the public honeypot-data repository, 24 October 2026. Accessed 28 October 2026. [1]</w:t></w:r></w:p><w:p><w:r><w:t>Direct report URL: https://github.com/0x4D31/honeypot-data/blob/main/reports/php2shell/2026-10-24-confirmed-rce.md</w:t></w:r></w:p><w:p><w:r><w:t>This report analyzes a published honeypot observation, cross-referenced with threat advisories from Palo Alto Networks Unit 42, Google Cloud/Mandiant, and Microsoft [7–9]. It does not claim that our group executed the attack or independently validated the underlying packet captures. ATT&amp;CK classifications and proposed SOC actions below are our analysis.</w:t></w:r></w:p><w:p><w:pPr><w:pStyle w:val="Heading1"/></w:pPr><w:r><w:t>2  Attack summary</w:t></w:r></w:p><w:p><w:r><w:t>The selected report documents PHP2Shell activity against instrumented PHP honeypots on 24 October 2026. The targets used PHP 8.4.26 with Apache mod_php. HTTP requests caused memory pressure and disclosure, followed by remote shell execution. The author links the observed chain to CVE-2026-109618; a separate CVE-2026-109619 exploitation path is not established. Process evidence includes Apache spawning /bin/sh, followed by identity and system queries such as id, hostname and uname. Outbound HTTP attempts also occurred. These observations support execution and discovery, but do not establish a sustained command-and-control channel or a compromised production organization. [1]</w:t><w:br/><w:br/><w:t>For this laboratory, the analytical objective is to connect each supported behavior to an ATT&amp;CK category and identify the evidence a SOC would require before escalating its conclusions. We treat gaining execution as the demonstrated outcome, while the operator’s ultimate objective remains unknown. Our investigation plan prioritizes correlation between web requests, process ancestry and network activity rather than relying on a vulnerability label or a single alert.</w:t></w:r></w:p><w:p><w:pPr><w:pStyle w:val="Heading1"/></w:pPr><w:r><w:t>3  Attack flow</w:t></w:r></w:p><w:p><w:r><w:drawing><wp:inline xmlns:a="http://schemas.openxmlformats.org/drawingml/2006/main" xmlns:pic="http://schemas.openxmlformats.org/drawingml/2006/picture"><wp:extent cx="6309360" cy="1532273"/><wp:docPr id="1" name="Picture 1"/><wp:cNvGraphicFramePr><a:graphicFrameLocks noChangeAspect="1"/></wp:cNvGraphicFramePr><a:graphic><a:graphicData uri="http://schemas.openxmlformats.org/drawingml/2006/picture"><pic:pic><pic:nvPicPr><pic:cNvPr id="0" name="flow.png"/><pic:cNvPicPr/></pic:nvPicPr><pic:blipFill><a:blip r:embed="rId11"/><a:stretch><a:fillRect/></a:stretch></pic:blipFill><pic:spPr><a:xfrm><a:off x="0" y="0"/><a:ext cx="6309360" cy="1532273"/></a:xfrm><a:prstGeom prst="rect"/></pic:spPr></pic:pic></a:graphicData></a:graphic></wp:inline></w:drawing></w:r></w:p><w:p><w:r><w:t>Figure 1. Analytical sequence based on [1]. Memory disclosure is part of the exploit stage. The final branch represents an attempt, not confirmed C2 or successful data delivery.</w:t></w:r></w:p><w:p><w:pPr><w:pStyle w:val="Heading1"/><w:pageBreakBefore/></w:pPr><w:r><w:t>4  Evidence based ATT&amp;CK mapping</w:t></w:r></w:p><w:p><w:r><w:t>Four supported behaviors are mapped below. Evidence pointers refer to section headings in [1]; definitions and tactic assignments were checked against MITRE [2–5]. Confidence describes the behavior-to-technique match, not attacker identity.</w:t></w:r></w:p><w:tbl><w:tblPr><w:tblW w:type="auto" w:w="0"/><w:jc w:val="center"/><w:tblLayout w:type="fixed"/><w:tblLook w:firstColumn="1" w:firstRow="1" w:lastColumn="0" w:lastRow="0" w:noHBand="0" w:noVBand="1" w:val="04A0"/></w:tblPr><w:tblGrid><w:gridCol w:w="1339"/><w:gridCol w:w="1109"/><w:gridCol w:w="1944"/><w:gridCol w:w="3110"/><w:gridCol w:w="2534"/></w:tblGrid><w:tr><w:trPr><w:cantSplit/><w:cantSplit/><w:cantSplit/><w:cantSplit/><w:cantSplit/><w:tblHeader/></w:trPr><w:tc><w:tcPr><w:tcW w:type="dxa" w:w="1339"/><w:vAlign w:val="center"/><w:tcBorders><w:top w:val="single" w:sz="4" w:color="D9D9D9"/><w:left w:val="single" w:sz="4" w:color="D9D9D9"/><w:bottom w:val="single" w:sz="4" w:color="D9D9D9"/><w:right w:val="single" w:sz="4" w:color="D9D9D9"/></w:tcBorders><w:tcMar><w:top w:w="85" w:type="dxa"/><w:left w:w="85" w:type="dxa"/><w:bottom w:w="85" w:type="dxa"/><w:right w:w="85" w:type="dxa"/></w:tcMar><w:shd w:fill="24445C"/></w:tcPr><w:p><w:pPr><w:spacing w:after="60" w:line="240" w:lineRule="auto"/></w:pPr><w:r><w:rPr><w:b/><w:color w:val="FFFFFF"/><w:sz w:val="20"/></w:rPr><w:t>Observed behavior</w:t></w:r></w:p></w:tc><w:tc><w:tcPr><w:tcW w:type="dxa" w:w="1109"/><w:vAlign w:val="center"/><w:tcBorders><w:top w:val="single" w:sz="4" w:color="D9D9D9"/><w:left w:val="single" w:sz="4" w:color="D9D9D9"/><w:bottom w:val="single" w:sz="4" w:color="D9D9D9"/><w:right w:val="single" w:sz="4" w:color="D9D9D9"/></w:tcBorders><w:tcMar><w:top w:w="85" w:type="dxa"/><w:left w:w="85" w:type="dxa"/><w:bottom w:w="85" w:type="dxa"/><w:right w:w="85" w:type="dxa"/></w:tcMar><w:shd w:fill="24445C"/></w:tcPr><w:p><w:pPr><w:spacing w:after="60" w:line="240" w:lineRule="auto"/></w:pPr><w:r><w:rPr><w:b/><w:color w:val="FFFFFF"/><w:sz w:val="20"/></w:rPr><w:t>ATT&amp;CK tactic</w:t></w:r></w:p></w:tc><w:tc><w:tcPr><w:tcW w:type="dxa" w:w="1944"/><w:vAlign w:val="center"/><w:tcBorders><w:top w:val="single" w:sz="4" w:color="D9D9D9"/><w:left w:val="single" w:sz="4" w:color="D9D9D9"/><w:bottom w:val="single" w:sz="4" w:color="D9D9D9"/><w:right w:val="single" w:sz="4" w:color="D9D9D9"/></w:tcBorders><w:tcMar><w:top w:w="85" w:type="dxa"/><w:left w:w="85" w:type="dxa"/><w:bottom w:w="85" w:type="dxa"/><w:right w:w="85" w:type="dxa"/></w:tcMar><w:shd w:fill="24445C"/></w:tcPr><w:p><w:pPr><w:spacing w:after="60" w:line="240" w:lineRule="auto"/></w:pPr><w:r><w:rPr><w:b/><w:color w:val="FFFFFF"/><w:sz w:val="20"/></w:rPr><w:t>Technique and ID</w:t></w:r></w:p></w:tc><w:tc><w:tcPr><w:tcW w:type="dxa" w:w="3110"/><w:vAlign w:val="center"/><w:tcBorders><w:top w:val="single" w:sz="4" w:color="D9D9D9"/><w:left w:val="single" w:sz="4" w:color="D9D9D9"/><w:bottom w:val="single" w:sz="4" w:color="D9D9D9"/><w:right w:val="single" w:sz="4" w:color="D9D9D9"/></w:tcBorders><w:tcMar><w:top w:w="85" w:type="dxa"/><w:left w:w="85" w:type="dxa"/><w:bottom w:w="85" w:type="dxa"/><w:right w:w="85" w:type="dxa"/></w:tcMar><w:shd w:fill="24445C"/></w:tcPr><w:p><w:pPr><w:spacing w:after="60" w:line="240" w:lineRule="auto"/></w:pPr><w:r><w:rPr><w:b/><w:color w:val="FFFFFF"/><w:sz w:val="20"/></w:rPr><w:t>Evidence and mapping rationale</w:t></w:r></w:p></w:tc><w:tc><w:tcPr><w:tcW w:type="dxa" w:w="2534"/><w:vAlign w:val="center"/><w:tcBorders><w:top w:val="single" w:sz="4" w:color="D9D9D9"/><w:left w:val="single" w:sz="4" w:color="D9D9D9"/><w:bottom w:val="single" w:sz="4" w:color="D9D9D9"/><w:right w:val="single" w:sz="4" w:color="D9D9D9"/></w:tcBorders><w:tcMar><w:top w:w="85" w:type="dxa"/><w:left w:w="85" w:type="dxa"/><w:bottom w:w="85" w:type="dxa"/><w:right w:w="85" w:type="dxa"/></w:tcMar><w:shd w:fill="24445C"/></w:tcPr><w:p><w:pPr><w:spacing w:after="60" w:line="240" w:lineRule="auto"/></w:pPr><w:r><w:rPr><w:b/><w:color w:val="FFFFFF"/><w:sz w:val="20"/></w:rPr><w:t>SOC telemetry and investigation</w:t></w:r></w:p></w:tc></w:tr><w:tr><w:trPr><w:cantSplit/><w:cantSplit/><w:cantSplit/><w:cantSplit/><w:cantSplit/></w:trPr><w:tc><w:tcPr><w:tcW w:type="dxa" w:w="1339"/><w:vAlign w:val="center"/><w:tcBorders><w:top w:val="single" w:sz="4" w:color="D9D9D9"/><w:left w:val="single" w:sz="4" w:color="D9D9D9"/><w:bottom w:val="single" w:sz="4" w:color="D9D9D9"/><w:right w:val="single" w:sz="4" w:color="D9D9D9"/></w:tcBorders><w:tcMar><w:top w:w="85" w:type="dxa"/><w:left w:w="85" w:type="dxa"/><w:bottom w:w="85" w:type="dxa"/><w:right w:w="85" w:type="dxa"/></w:tcMar><w:shd w:fill="EEF3F7"/></w:tcPr><w:p><w:pPr><w:spacing w:after="60" w:line="240" w:lineRule="auto"/></w:pPr><w:r><w:rPr><w:b w:val="0"/><w:color w:val="000000"/><w:sz w:val="20"/></w:rPr><w:t>HTTP exploitation</w:t></w:r></w:p></w:tc><w:tc><w:tcPr><w:tcW w:type="dxa" w:w="1109"/><w:vAlign w:val="center"/><w:tcBorders><w:top w:val="single" w:sz="4" w:color="D9D9D9"/><w:left w:val="single" w:sz="4" w:color="D9D9D9"/><w:bottom w:val="single" w:sz="4" w:color="D9D9D9"/><w:right w:val="single" w:sz="4" w:color="D9D9D9"/></w:tcBorders><w:tcMar><w:top w:w="85" w:type="dxa"/><w:left w:w="85" w:type="dxa"/><w:bottom w:w="85" w:type="dxa"/><w:right w:w="85" w:type="dxa"/></w:tcMar><w:shd w:fill="EEF3F7"/></w:tcPr><w:p><w:pPr><w:spacing w:after="60" w:line="240" w:lineRule="auto"/></w:pPr><w:r><w:rPr><w:b w:val="0"/><w:color w:val="000000"/><w:sz w:val="20"/></w:rPr><w:t>Initial Access</w:t></w:r></w:p></w:tc><w:tc><w:tcPr><w:tcW w:type="dxa" w:w="1944"/><w:vAlign w:val="center"/><w:tcBorders><w:top w:val="single" w:sz="4" w:color="D9D9D9"/><w:left w:val="single" w:sz="4" w:color="D9D9D9"/><w:bottom w:val="single" w:sz="4" w:color="D9D9D9"/><w:right w:val="single" w:sz="4" w:color="D9D9D9"/></w:tcBorders><w:tcMar><w:top w:w="85" w:type="dxa"/><w:left w:w="85" w:type="dxa"/><w:bottom w:w="85" w:type="dxa"/><w:right w:w="85" w:type="dxa"/></w:tcMar><w:shd w:fill="EEF3F7"/></w:tcPr><w:p><w:pPr><w:spacing w:after="60" w:line="240" w:lineRule="auto"/></w:pPr><w:r><w:rPr><w:b w:val="0"/><w:color w:val="000000"/><w:sz w:val="20"/></w:rPr><w:t>Exploit Public-Facing Application</w:t><w:br/><w:t>T1190</w:t></w:r></w:p></w:tc><w:tc><w:tcPr><w:tcW w:type="dxa" w:w="3110"/><w:vAlign w:val="center"/><w:tcBorders><w:top w:val="single" w:sz="4" w:color="D9D9D9"/><w:left w:val="single" w:sz="4" w:color="D9D9D9"/><w:bottom w:val="single" w:sz="4" w:color="D9D9D9"/><w:right w:val="single" w:sz="4" w:color="D9D9D9"/></w:tcBorders><w:tcMar><w:top w:w="85" w:type="dxa"/><w:left w:w="85" w:type="dxa"/><w:bottom w:w="85" w:type="dxa"/><w:right w:w="85" w:type="dxa"/></w:tcMar><w:shd w:fill="EEF3F7"/></w:tcPr><w:p><w:pPr><w:spacing w:after="60" w:line="240" w:lineRule="auto"/></w:pPr><w:r><w:rPr><w:b w:val="0"/><w:color w:val="000000"/><w:sz w:val="20"/></w:rPr><w:t>Evidence: [1], “Case evidence: HTTP request to Apache child process.” Exploiting an exposed server to obtain execution fits T1190 [2]. High confidence; do not infer access to other hosts.</w:t></w:r></w:p></w:tc><w:tc><w:tcPr><w:tcW w:type="dxa" w:w="2534"/><w:vAlign w:val="center"/><w:tcBorders><w:top w:val="single" w:sz="4" w:color="D9D9D9"/><w:left w:val="single" w:sz="4" w:color="D9D9D9"/><w:bottom w:val="single" w:sz="4" w:color="D9D9D9"/><w:right w:val="single" w:sz="4" w:color="D9D9D9"/></w:tcBorders><w:tcMar><w:top w:w="85" w:type="dxa"/><w:left w:w="85" w:type="dxa"/><w:bottom w:w="85" w:type="dxa"/><w:right w:w="85" w:type="dxa"/></w:tcMar><w:shd w:fill="EEF3F7"/></w:tcPr><w:p><w:pPr><w:spacing w:after="60" w:line="240" w:lineRule="auto"/></w:pPr><w:r><w:rPr><w:b w:val="0"/><w:color w:val="000000"/><w:sz w:val="20"/></w:rPr><w:t>Correlate HTTP requests with PHP errors and process starts. Check the serving PHP build and deployment configuration.</w:t></w:r></w:p></w:tc></w:tr><w:tr><w:trPr><w:cantSplit/><w:cantSplit/><w:cantSplit/><w:cantSplit/><w:cantSplit/></w:trPr><w:tc><w:tcPr><w:tcW w:type="dxa" w:w="1339"/><w:vAlign w:val="center"/><w:tcBorders><w:top w:val="single" w:sz="4" w:color="D9D9D9"/><w:left w:val="single" w:sz="4" w:color="D9D9D9"/><w:bottom w:val="single" w:sz="4" w:color="D9D9D9"/><w:right w:val="single" w:sz="4" w:color="D9D9D9"/></w:tcBorders><w:tcMar><w:top w:w="85" w:type="dxa"/><w:left w:w="85" w:type="dxa"/><w:bottom w:w="85" w:type="dxa"/><w:right w:w="85" w:type="dxa"/></w:tcMar><w:shd w:fill="FFFFFF"/></w:tcPr><w:p><w:pPr><w:spacing w:after="60" w:line="240" w:lineRule="auto"/></w:pPr><w:r><w:rPr><w:b w:val="0"/><w:color w:val="000000"/><w:sz w:val="20"/></w:rPr><w:t>/bin/sh execution</w:t></w:r></w:p></w:tc><w:tc><w:tcPr><w:tcW w:type="dxa" w:w="1109"/><w:vAlign w:val="center"/><w:tcBorders><w:top w:val="single" w:sz="4" w:color="D9D9D9"/><w:left w:val="single" w:sz="4" w:color="D9D9D9"/><w:bottom w:val="single" w:sz="4" w:color="D9D9D9"/><w:right w:val="single" w:sz="4" w:color="D9D9D9"/></w:tcBorders><w:tcMar><w:top w:w="85" w:type="dxa"/><w:left w:w="85" w:type="dxa"/><w:bottom w:w="85" w:type="dxa"/><w:right w:w="85" w:type="dxa"/></w:tcMar><w:shd w:fill="FFFFFF"/></w:tcPr><w:p><w:pPr><w:spacing w:after="60" w:line="240" w:lineRule="auto"/></w:pPr><w:r><w:rPr><w:b w:val="0"/><w:color w:val="000000"/><w:sz w:val="20"/></w:rPr><w:t>Execution</w:t></w:r></w:p></w:tc><w:tc><w:tcPr><w:tcW w:type="dxa" w:w="1944"/><w:vAlign w:val="center"/><w:tcBorders><w:top w:val="single" w:sz="4" w:color="D9D9D9"/><w:left w:val="single" w:sz="4" w:color="D9D9D9"/><w:bottom w:val="single" w:sz="4" w:color="D9D9D9"/><w:right w:val="single" w:sz="4" w:color="D9D9D9"/></w:tcBorders><w:tcMar><w:top w:w="85" w:type="dxa"/><w:left w:w="85" w:type="dxa"/><w:bottom w:w="85" w:type="dxa"/><w:right w:w="85" w:type="dxa"/></w:tcMar><w:shd w:fill="FFFFFF"/></w:tcPr><w:p><w:pPr><w:spacing w:after="60" w:line="240" w:lineRule="auto"/></w:pPr><w:r><w:rPr><w:b w:val="0"/><w:color w:val="000000"/><w:sz w:val="20"/></w:rPr><w:t>Command and Scripting Interpreter: Unix Shell</w:t><w:br/><w:t>T1059.004</w:t></w:r></w:p></w:tc><w:tc><w:tcPr><w:tcW w:type="dxa" w:w="3110"/><w:vAlign w:val="center"/><w:tcBorders><w:top w:val="single" w:sz="4" w:color="D9D9D9"/><w:left w:val="single" w:sz="4" w:color="D9D9D9"/><w:bottom w:val="single" w:sz="4" w:color="D9D9D9"/><w:right w:val="single" w:sz="4" w:color="D9D9D9"/></w:tcBorders><w:tcMar><w:top w:w="85" w:type="dxa"/><w:left w:w="85" w:type="dxa"/><w:bottom w:w="85" w:type="dxa"/><w:right w:w="85" w:type="dxa"/></w:tcMar><w:shd w:fill="FFFFFF"/></w:tcPr><w:p><w:pPr><w:spacing w:after="60" w:line="240" w:lineRule="auto"/></w:pPr><w:r><w:rPr><w:b w:val="0"/><w:color w:val="000000"/><w:sz w:val="20"/></w:rPr><w:t>Evidence: [1], “Selected runtime records.” A Unix command interpreter provides the execution mechanism described by T1059.004 [3]. High confidence; this is not proof of an uploaded web shell.</w:t></w:r></w:p></w:tc><w:tc><w:tcPr><w:tcW w:type="dxa" w:w="2534"/><w:vAlign w:val="center"/><w:tcBorders><w:top w:val="single" w:sz="4" w:color="D9D9D9"/><w:left w:val="single" w:sz="4" w:color="D9D9D9"/><w:bottom w:val="single" w:sz="4" w:color="D9D9D9"/><w:right w:val="single" w:sz="4" w:color="D9D9D9"/></w:tcBorders><w:tcMar><w:top w:w="85" w:type="dxa"/><w:left w:w="85" w:type="dxa"/><w:bottom w:w="85" w:type="dxa"/><w:right w:w="85" w:type="dxa"/></w:tcMar><w:shd w:fill="FFFFFF"/></w:tcPr><w:p><w:pPr><w:spacing w:after="60" w:line="240" w:lineRule="auto"/></w:pPr><w:r><w:rPr><w:b w:val="0"/><w:color w:val="000000"/><w:sz w:val="20"/></w:rPr><w:t>Inspect process parent, command line, account and child processes. Identify the triggering request and preserve the full process tree.</w:t></w:r></w:p></w:tc></w:tr><w:tr><w:trPr><w:cantSplit/><w:cantSplit/><w:cantSplit/><w:cantSplit/><w:cantSplit/></w:trPr><w:tc><w:tcPr><w:tcW w:type="dxa" w:w="1339"/><w:vAlign w:val="center"/><w:tcBorders><w:top w:val="single" w:sz="4" w:color="D9D9D9"/><w:left w:val="single" w:sz="4" w:color="D9D9D9"/><w:bottom w:val="single" w:sz="4" w:color="D9D9D9"/><w:right w:val="single" w:sz="4" w:color="D9D9D9"/></w:tcBorders><w:tcMar><w:top w:w="85" w:type="dxa"/><w:left w:w="85" w:type="dxa"/><w:bottom w:w="85" w:type="dxa"/><w:right w:w="85" w:type="dxa"/></w:tcMar><w:shd w:fill="EEF3F7"/></w:tcPr><w:p><w:pPr><w:spacing w:after="60" w:line="240" w:lineRule="auto"/></w:pPr><w:r><w:rPr><w:b w:val="0"/><w:color w:val="000000"/><w:sz w:val="20"/></w:rPr><w:t>id / id -un</w:t></w:r></w:p></w:tc><w:tc><w:tcPr><w:tcW w:type="dxa" w:w="1109"/><w:vAlign w:val="center"/><w:tcBorders><w:top w:val="single" w:sz="4" w:color="D9D9D9"/><w:left w:val="single" w:sz="4" w:color="D9D9D9"/><w:bottom w:val="single" w:sz="4" w:color="D9D9D9"/><w:right w:val="single" w:sz="4" w:color="D9D9D9"/></w:tcBorders><w:tcMar><w:top w:w="85" w:type="dxa"/><w:left w:w="85" w:type="dxa"/><w:bottom w:w="85" w:type="dxa"/><w:right w:w="85" w:type="dxa"/></w:tcMar><w:shd w:fill="EEF3F7"/></w:tcPr><w:p><w:pPr><w:spacing w:after="60" w:line="240" w:lineRule="auto"/></w:pPr><w:r><w:rPr><w:b w:val="0"/><w:color w:val="000000"/><w:sz w:val="20"/></w:rPr><w:t>Discovery</w:t></w:r></w:p></w:tc><w:tc><w:tcPr><w:tcW w:type="dxa" w:w="1944"/><w:vAlign w:val="center"/><w:tcBorders><w:top w:val="single" w:sz="4" w:color="D9D9D9"/><w:left w:val="single" w:sz="4" w:color="D9D9D9"/><w:bottom w:val="single" w:sz="4" w:color="D9D9D9"/><w:right w:val="single" w:sz="4" w:color="D9D9D9"/></w:tcBorders><w:tcMar><w:top w:w="85" w:type="dxa"/><w:left w:w="85" w:type="dxa"/><w:bottom w:w="85" w:type="dxa"/><w:right w:w="85" w:type="dxa"/></w:tcMar><w:shd w:fill="EEF3F7"/></w:tcPr><w:p><w:pPr><w:spacing w:after="60" w:line="240" w:lineRule="auto"/></w:pPr><w:r><w:rPr><w:b w:val="0"/><w:color w:val="000000"/><w:sz w:val="20"/></w:rPr><w:t>System Owner/User Discovery</w:t><w:br/><w:t>T1033</w:t></w:r></w:p></w:tc><w:tc><w:tcPr><w:tcW w:type="dxa" w:w="3110"/><w:vAlign w:val="center"/><w:tcBorders><w:top w:val="single" w:sz="4" w:color="D9D9D9"/><w:left w:val="single" w:sz="4" w:color="D9D9D9"/><w:bottom w:val="single" w:sz="4" w:color="D9D9D9"/><w:right w:val="single" w:sz="4" w:color="D9D9D9"/></w:tcBorders><w:tcMar><w:top w:w="85" w:type="dxa"/><w:left w:w="85" w:type="dxa"/><w:bottom w:w="85" w:type="dxa"/><w:right w:w="85" w:type="dxa"/></w:tcMar><w:shd w:fill="EEF3F7"/></w:tcPr><w:p><w:pPr><w:spacing w:after="60" w:line="240" w:lineRule="auto"/></w:pPr><w:r><w:rPr><w:b w:val="0"/><w:color w:val="000000"/><w:sz w:val="20"/></w:rPr><w:t>Evidence: [1], “Selected runtime records,” identity-query entries. Determining the executing account fits T1033 [4]. High confidence in classification; the query alone would be benign in many contexts.</w:t></w:r></w:p></w:tc><w:tc><w:tcPr><w:tcW w:type="dxa" w:w="2534"/><w:vAlign w:val="center"/><w:tcBorders><w:top w:val="single" w:sz="4" w:color="D9D9D9"/><w:left w:val="single" w:sz="4" w:color="D9D9D9"/><w:bottom w:val="single" w:sz="4" w:color="D9D9D9"/><w:right w:val="single" w:sz="4" w:color="D9D9D9"/></w:tcBorders><w:tcMar><w:top w:w="85" w:type="dxa"/><w:left w:w="85" w:type="dxa"/><w:bottom w:w="85" w:type="dxa"/><w:right w:w="85" w:type="dxa"/></w:tcMar><w:shd w:fill="EEF3F7"/></w:tcPr><w:p><w:pPr><w:spacing w:after="60" w:line="240" w:lineRule="auto"/></w:pPr><w:r><w:rPr><w:b w:val="0"/><w:color w:val="000000"/><w:sz w:val="20"/></w:rPr><w:t>Review command arguments and UID. Correlate the query with the exploit-linked shell; distinguish service identity from privileged access.</w:t></w:r></w:p></w:tc></w:tr><w:tr><w:trPr><w:cantSplit/><w:cantSplit/><w:cantSplit/><w:cantSplit/><w:cantSplit/></w:trPr><w:tc><w:tcPr><w:tcW w:type="dxa" w:w="1339"/><w:vAlign w:val="center"/><w:tcBorders><w:top w:val="single" w:sz="4" w:color="D9D9D9"/><w:left w:val="single" w:sz="4" w:color="D9D9D9"/><w:bottom w:val="single" w:sz="4" w:color="D9D9D9"/><w:right w:val="single" w:sz="4" w:color="D9D9D9"/></w:tcBorders><w:tcMar><w:top w:w="85" w:type="dxa"/><w:left w:w="85" w:type="dxa"/><w:bottom w:w="85" w:type="dxa"/><w:right w:w="85" w:type="dxa"/></w:tcMar><w:shd w:fill="FFFFFF"/></w:tcPr><w:p><w:pPr><w:spacing w:after="60" w:line="240" w:lineRule="auto"/></w:pPr><w:r><w:rPr><w:b w:val="0"/><w:color w:val="000000"/><w:sz w:val="20"/></w:rPr><w:t>hostname / uname -m</w:t></w:r></w:p></w:tc><w:tc><w:tcPr><w:tcW w:type="dxa" w:w="1109"/><w:vAlign w:val="center"/><w:tcBorders><w:top w:val="single" w:sz="4" w:color="D9D9D9"/><w:left w:val="single" w:sz="4" w:color="D9D9D9"/><w:bottom w:val="single" w:sz="4" w:color="D9D9D9"/><w:right w:val="single" w:sz="4" w:color="D9D9D9"/></w:tcBorders><w:tcMar><w:top w:w="85" w:type="dxa"/><w:left w:w="85" w:type="dxa"/><w:bottom w:w="85" w:type="dxa"/><w:right w:w="85" w:type="dxa"/></w:tcMar><w:shd w:fill="FFFFFF"/></w:tcPr><w:p><w:pPr><w:spacing w:after="60" w:line="240" w:lineRule="auto"/></w:pPr><w:r><w:rPr><w:b w:val="0"/><w:color w:val="000000"/><w:sz w:val="20"/></w:rPr><w:t>Discovery</w:t></w:r></w:p></w:tc><w:tc><w:tcPr><w:tcW w:type="dxa" w:w="1944"/><w:vAlign w:val="center"/><w:tcBorders><w:top w:val="single" w:sz="4" w:color="D9D9D9"/><w:left w:val="single" w:sz="4" w:color="D9D9D9"/><w:bottom w:val="single" w:sz="4" w:color="D9D9D9"/><w:right w:val="single" w:sz="4" w:color="D9D9D9"/></w:tcBorders><w:tcMar><w:top w:w="85" w:type="dxa"/><w:left w:w="85" w:type="dxa"/><w:bottom w:w="85" w:type="dxa"/><w:right w:w="85" w:type="dxa"/></w:tcMar><w:shd w:fill="FFFFFF"/></w:tcPr><w:p><w:pPr><w:spacing w:after="60" w:line="240" w:lineRule="auto"/></w:pPr><w:r><w:rPr><w:b w:val="0"/><w:color w:val="000000"/><w:sz w:val="20"/></w:rPr><w:t>System Information Discovery</w:t><w:br/><w:t>T1082</w:t></w:r></w:p></w:tc><w:tc><w:tcPr><w:tcW w:type="dxa" w:w="3110"/><w:vAlign w:val="center"/><w:tcBorders><w:top w:val="single" w:sz="4" w:color="D9D9D9"/><w:left w:val="single" w:sz="4" w:color="D9D9D9"/><w:bottom w:val="single" w:sz="4" w:color="D9D9D9"/><w:right w:val="single" w:sz="4" w:color="D9D9D9"/></w:tcBorders><w:tcMar><w:top w:w="85" w:type="dxa"/><w:left w:w="85" w:type="dxa"/><w:bottom w:w="85" w:type="dxa"/><w:right w:w="85" w:type="dxa"/></w:tcMar><w:shd w:fill="FFFFFF"/></w:tcPr><w:p><w:pPr><w:spacing w:after="60" w:line="240" w:lineRule="auto"/></w:pPr><w:r><w:rPr><w:b w:val="0"/><w:color w:val="000000"/><w:sz w:val="20"/></w:rPr><w:t>Evidence: [1], “Selected runtime records,” host/architecture entries. Learning host and hardware information fits T1082 [5]. High confidence; do not infer network scanning.</w:t></w:r></w:p></w:tc><w:tc><w:tcPr><w:tcW w:type="dxa" w:w="2534"/><w:vAlign w:val="center"/><w:tcBorders><w:top w:val="single" w:sz="4" w:color="D9D9D9"/><w:left w:val="single" w:sz="4" w:color="D9D9D9"/><w:bottom w:val="single" w:sz="4" w:color="D9D9D9"/><w:right w:val="single" w:sz="4" w:color="D9D9D9"/></w:tcBorders><w:tcMar><w:top w:w="85" w:type="dxa"/><w:left w:w="85" w:type="dxa"/><w:bottom w:w="85" w:type="dxa"/><w:right w:w="85" w:type="dxa"/></w:tcMar><w:shd w:fill="FFFFFF"/></w:tcPr><w:p><w:pPr><w:spacing w:after="60" w:line="240" w:lineRule="auto"/></w:pPr><w:r><w:rPr><w:b w:val="0"/><w:color w:val="000000"/><w:sz w:val="20"/></w:rPr><w:t>Examine execution events and command output where retained. Identify whether information was only collected locally or actually transmitted.</w:t></w:r></w:p></w:tc></w:tr></w:tbl><w:p><w:pPr><w:spacing w:before="160"/></w:pPr><w:r><w:t>Mapping discipline. Technique IDs describe behavior. They do not independently prove intent, attribution, persistence or successful compromise of systems beyond the observed target. No unsupported sub-technique is assigned to T1190, T1033 or T1082.</w:t></w:r></w:p><w:p><w:pPr><w:pStyle w:val="Heading1"/><w:pageBreakBefore/></w:pPr><w:r><w:t>5  Proposed SOC investigation</w:t></w:r></w:p><w:p><w:r><w:t>The following is a proposed operational workflow, not a description of actions performed by the report author or our group. Tier 1 validates and prioritizes; Tier 2 reconstructs the incident and evaluates scope.</w:t></w:r></w:p><w:p><w:pPr><w:pStyle w:val="Heading2"/></w:pPr><w:r><w:t>A  Exploitation of the exposed application — T1190</w:t></w:r></w:p><w:p><w:r><w:t>Telemetry: reverse-proxy or WAF records, Apache access/error logs, PHP errors, packet capture where available, deployment inventory and process telemetry. Preserve timestamps, request identifiers, source ports and worker IDs for correlation.</w:t></w:r></w:p><w:p><w:r><w:t>Tier 1: verify the affected asset, exposure and serving PHP version. Identify related requests and error bursts. Escalate urgently when process evidence corroborates execution. An error response or memory-exhaustion event alone is insufficient to confirm RCE.</w:t></w:r></w:p><w:p><w:r><w:t>Tier 2: reconstruct request-to-worker-to-process relationships; compare timing and connection details across independent sources. Determine whether the anomaly originated before application execution. Search other exposed assets for the same behavior, while keeping attempted and successful exploitation separate.</w:t></w:r></w:p><w:p><w:pPr><w:pStyle w:val="Heading2"/></w:pPr><w:r><w:t>B  Unexpected shell execution — T1059.004</w:t></w:r></w:p><w:p><w:r><w:t>Telemetry: EDR, auditd or eBPF process-execution records with executable path, parent PID, UID, command line, container identity and exit information.</w:t></w:r></w:p><w:p><w:r><w:t>Tier 1: inspect the entire ancestry and verify whether a legitimate application function or approved maintenance task explains it. Preserve the event and surrounding process tree; do not close the alert solely because the process runs as a normal service account.</w:t></w:r></w:p><w:p><w:r><w:t>Tier 2: correlate the shell to the suspected request, inspect descendants and file changes, and determine the execution boundary. Assess containment with the incident owner. Investigate persistence and privilege changes as open questions rather than assuming they occurred.</w:t></w:r></w:p><w:p><w:pPr><w:pStyle w:val="Heading2"/></w:pPr><w:r><w:t>C  User and system discovery — T1033 and T1082</w:t></w:r></w:p><w:p><w:r><w:t>Telemetry: process events, captured command output, file activity and process-linked network events. Treat missing output as an evidence gap, not proof that a command failed.</w:t></w:r></w:p><w:p><w:r><w:t>Tier 1: check whether the queries belong to the suspicious execution chain or a scheduled diagnostic job. Record the account, host and timing, and group related events into the same incident.</w:t></w:r></w:p><w:p><w:r><w:t>Tier 2: determine what information was obtained and whether it was incorporated into later activity. Compare process arguments with packet or proxy evidence to test actual transmission. Do not equate knowledge of a username with stolen credentials, or a hostname query with lateral movement.</w:t></w:r></w:p><w:p><w:pPr><w:pStyle w:val="Heading2"/></w:pPr><w:r><w:t>Evidence handling and decision record</w:t></w:r></w:p><w:p><w:r><w:t>Retain original logs and timestamps, hash exported evidence, and document collection scope and gaps. Record each conclusion with its supporting event and confidence. Response decisions should follow organizational authority and preserve evidence before disruptive actions where practical. The laboratory itself remains report analysis; no exploit execution is required.</w:t></w:r></w:p><w:p><w:pPr><w:pStyle w:val="Heading1"/><w:pageBreakBefore/></w:pPr><w:r><w:t>6  Uncertain mapping and alternative interpretation</w:t></w:r></w:p><w:p><w:pPr><w:pStyle w:val="Heading2"/></w:pPr><w:r><w:t>Candidate — Web Protocols under Command and Control</w:t></w:r></w:p><w:p><w:r><w:t>The unresolved question is whether the outbound activity warrants T1071.001 (Application Layer Protocol: Web Protocols), whose tactic is Command and Control [6]. HTTP is a transport; its presence alone does not establish that purpose. We therefore withhold this mapping from the four supported entries.</w:t></w:r></w:p><w:p><w:r><w:t>Alternative interpretation: a one-time execution-verification callback could explain the behavior without an established channel for tasking or ongoing control. A failed connection could also mean that the intended remote interaction never occurred. These are analytical alternatives, not claims about the operator’s confirmed goal.</w:t></w:r></w:p><w:p><w:pPr><w:pStyle w:val="Heading2"/></w:pPr><w:r><w:t>Evidence required to resolve it</w:t></w:r></w:p><w:p><w:r><w:t>Seek a completed connection with captured HTTP request and response data; link it to the originating process; and examine subsequent activity for instructions, results or repeated tasking. Server-side records from the receiving endpoint, if lawfully available, could corroborate delivery. A SYN attempt or a command line alone cannot establish successful transmission.</w:t></w:r></w:p><w:p><w:r><w:t>Evidence of an actual control exchange would strengthen T1071.001. A single proof message without tasking would favor the verification interpretation. Incomplete network capture leaves the issue unresolved. Similar caution applies to exfiltration: intention, attempted transmission and confirmed delivery must be reported separately.</w:t></w:r></w:p><w:p><w:pPr><w:pStyle w:val="Heading2"/></w:pPr><w:r><w:t>Review question</w:t></w:r></w:p><w:p><w:r><w:t>Question discussed: “What additional evidence distinguishes an HTTP proof callback from an operational C2 channel?” Peer review & instructor consensus: The question was reviewed with the instructor/peer group. The consensus confirmed that an isolated outbound HTTP request (e.g., via curl) without evidence of inbound tasking or an ongoing command loop cannot be reliably mapped to T1071.001 (Command and Control). To avoid speculative attribution, the mapping remains withheld until bidirectional payload exchange or persistent egress beaconing is corroborated.</w:t></w:r></w:p><w:p><w:pPr><w:pStyle w:val="Heading1"/></w:pPr><w:r><w:t>7  References</w:t></w:r></w:p><w:p><w:r><w:rPr><w:sz w:val="18"/></w:rPr><w:t>[1] Karimi, A. (0x4D31), 24 October 2026. PHP2Shell exploitation observed: packet-to-process RCE evidence. Public honeypot-data repository.</w:t><w:br/><w:t>https://github.com/0x4D31/honeypot-data/blob/main/reports/php2shell/2026-10-24-confirmed-rce.md</w:t></w:r></w:p><w:p><w:r><w:rPr><w:sz w:val="18"/></w:rPr><w:t>[2] MITRE ATT&amp;CK. T1190 — Exploit Public-Facing Application.</w:t><w:br/><w:t>https://attack.mitre.org/techniques/T1190/</w:t></w:r></w:p><w:p><w:r><w:rPr><w:sz w:val="18"/></w:rPr><w:t>[3] MITRE ATT&amp;CK. T1059.004 — Unix Shell.</w:t><w:br/><w:t>https://attack.mitre.org/techniques/T1059/004/</w:t></w:r></w:p><w:p><w:r><w:rPr><w:sz w:val="18"/></w:rPr><w:t>[4] MITRE ATT&amp;CK. T1033 — System Owner/User Discovery.</w:t><w:br/><w:t>https://attack.mitre.org/techniques/T1033/</w:t></w:r></w:p><w:p><w:r><w:rPr><w:sz w:val="18"/></w:rPr><w:t>[5] MITRE ATT&amp;CK. T1082 — System Information Discovery.</w:t><w:br/><w:t>https://attack.mitre.org/techniques/T1082/</w:t></w:r></w:p><w:p><w:r><w:rPr><w:sz w:val="18"/></w:rPr><w:t>[6] MITRE ATT&amp;CK. T1071.001 — Web Protocols.</w:t><w:br/><w:t>https://attack.mitre.org/techniques/T1071/001/</w:t></w:r></w:p><w:p><w:r><w:t>[7] Palo Alto Networks Unit 42, 23–25 October 2026. Threat Brief: Critical Vulnerabilities in PHP (CVE-2026-109618, CVE-2026-109619). https://unit42.paloaltonetworks.com/cve-2026-109618-cve-2026-109619/ | [8] Google Cloud / Mandiant, 21–23 October 2026. Responding to core PHP vulnerabilities CVE-2026-109618 and CVE-2026-109619. https://cloud.google.com/blog/products/identity-security/responding-to-core-php-vulnerabilities-cve-2026-109618-cve-2026-109619 | [9] Microsoft Security, 21–26 October 2026. Addressing PHP2Shell CVE-2026-109618 and CVE-2026-109619. https://techcommunity.microsoft.com/blog/azurenetworksecurityblog/addressing-php2shell-cve-2026-109618-and-cve-2026-109619-upgrade-guidance-and-az/4566623 — All sources accessed 28 October 2026.</w:t></w:r></w:p><w:sectPr w:rsidR="00FC693F" w:rsidRPr="0006063C" w:rsidSect="00034616"><w:headerReference w:type="default" r:id="rId9"/><w:footerReference w:type="default" r:id="rId10"/><w:pgSz w:w="11909" w:h="16834"/><w:pgMar w:top="936" w:right="936" w:bottom="936" w:left="936"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PHP2Shell CTI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AI-ENHANCED CYBERSECURITY  |  LAB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