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C9490A"/>
          <w:spacing w:val="40"/>
          <w:sz w:val="18"/>
          <w:szCs w:val="18"/>
        </w:rPr>
        <w:t xml:space="preserve">РАЗБОР КАБИНЕТА AVITO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44"/>
          <w:szCs w:val="44"/>
        </w:rPr>
        <w:t xml:space="preserve">Почему тебе мало пишут</w:t>
      </w:r>
    </w:p>
    <w:p>
      <w:pPr>
        <w:spacing w:after="40" w:line="280"/>
      </w:pPr>
      <w:r>
        <w:rPr>
          <w:rFonts w:ascii="Calibri" w:cs="Calibri" w:eastAsia="Calibri" w:hAnsi="Calibri"/>
          <w:color w:val="6B7488"/>
          <w:sz w:val="20"/>
          <w:szCs w:val="20"/>
        </w:rPr>
        <w:t xml:space="preserve">Лиза Удахина · обучение нейросетям · 41 объявление</w:t>
      </w:r>
    </w:p>
    <w:p>
      <w:pPr>
        <w:spacing w:after="140" w:line="280"/>
      </w:pPr>
      <w:r>
        <w:rPr>
          <w:rFonts w:ascii="Calibri" w:cs="Calibri" w:eastAsia="Calibri" w:hAnsi="Calibri"/>
          <w:color w:val="6B7488"/>
          <w:sz w:val="20"/>
          <w:szCs w:val="20"/>
        </w:rPr>
        <w:t xml:space="preserve">Данные из API Avito за 17 июня — 15 сентября 2026. Отчёт составлен 15 сентября 2026.</w:t>
      </w:r>
    </w:p>
    <w:p>
      <w:pPr>
        <w:pBdr>
          <w:bottom w:val="single" w:color="D6DAE0" w:sz="6"/>
        </w:pBdr>
        <w:spacing w:after="20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Главный вывод</w:t>
      </w:r>
    </w:p>
    <w:p>
      <w:pPr>
        <w:spacing w:after="140" w:line="2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С объявлениями всё в порядке.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Конверсия 8,9% при норме для обучения и услуг 3–8% — из каждых ста человек, открывших объявление, девять пишут. Переписывать тексты не нужно: это сломало бы то, что работает.</w:t>
      </w:r>
    </w:p>
    <w:p>
      <w:pPr>
        <w:spacing w:after="140" w:line="2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Узкое место — охват.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2 274 просмотра на 41 объявление за три месяца дают примерно 18 просмотров на объявление в месяц. Меньше одного человека в день. При такой конверсии каждая дополнительная тысяча просмотров — это около девяноста обращений.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Ключевые цифры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C9490A"/>
          <w:sz w:val="24"/>
          <w:szCs w:val="24"/>
        </w:rPr>
        <w:t xml:space="preserve">За 90 дней</w:t>
      </w:r>
    </w:p>
    <w:tbl>
      <w:tblPr>
        <w:tblW w:type="dxa" w:w="9026"/>
        <w:tblBorders>
          <w:top w:val="single" w:color="D6DAE0" w:sz="4"/>
          <w:left w:val="single" w:color="D6DAE0" w:sz="4"/>
          <w:bottom w:val="single" w:color="D6DAE0" w:sz="4"/>
          <w:right w:val="single" w:color="D6DAE0" w:sz="4"/>
          <w:insideH w:val="single" w:color="E6E9ED" w:sz="4"/>
          <w:insideV w:val="single" w:color="E6E9ED" w:sz="4"/>
        </w:tblBorders>
      </w:tblPr>
      <w:tblGrid>
        <w:gridCol w:w="3400"/>
        <w:gridCol w:w="2000"/>
        <w:gridCol w:w="3626"/>
      </w:tblGrid>
      <w:tr>
        <w:trPr>
          <w:tblHeader/>
        </w:trPr>
        <w:tc>
          <w:tcPr>
            <w:tcW w:type="dxa" w:w="3400"/>
            <w:shd w:fill="F0F2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B7488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2000"/>
            <w:shd w:fill="F0F2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B7488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3626"/>
            <w:shd w:fill="F0F2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B7488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Просмотры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2 274</w:t>
            </w:r>
          </w:p>
        </w:tc>
        <w:tc>
          <w:tcPr>
            <w:tcW w:type="dxa" w:w="3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по всему кабинету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Обращения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166</w:t>
            </w:r>
          </w:p>
        </w:tc>
        <w:tc>
          <w:tcPr>
            <w:tcW w:type="dxa" w:w="3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около 55 в месяц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В избранном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3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в 2,3 раза больше обращений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Конверсия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8,9%</w:t>
            </w:r>
          </w:p>
        </w:tc>
        <w:tc>
          <w:tcPr>
            <w:tcW w:type="dxa" w:w="3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без телевизора, мотоцикла и резюме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Конверсия по кабинету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7,3%</w:t>
            </w:r>
          </w:p>
        </w:tc>
        <w:tc>
          <w:tcPr>
            <w:tcW w:type="dxa" w:w="3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вместе с ними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Рейтинг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5,0</w:t>
            </w:r>
          </w:p>
        </w:tc>
        <w:tc>
          <w:tcPr>
            <w:tcW w:type="dxa" w:w="3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при 5 отзывах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Расходы на продвижение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 ₽</w:t>
            </w:r>
          </w:p>
        </w:tc>
        <w:tc>
          <w:tcPr>
            <w:tcW w:type="dxa" w:w="3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не подключено ни на одном объявлении</w:t>
            </w:r>
          </w:p>
        </w:tc>
      </w:tr>
    </w:tbl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C9490A"/>
          <w:sz w:val="24"/>
          <w:szCs w:val="24"/>
        </w:rPr>
        <w:t xml:space="preserve">Неделя 8–15 сентября</w:t>
      </w:r>
    </w:p>
    <w:tbl>
      <w:tblPr>
        <w:tblW w:type="dxa" w:w="9026"/>
        <w:tblBorders>
          <w:top w:val="single" w:color="D6DAE0" w:sz="4"/>
          <w:left w:val="single" w:color="D6DAE0" w:sz="4"/>
          <w:bottom w:val="single" w:color="D6DAE0" w:sz="4"/>
          <w:right w:val="single" w:color="D6DAE0" w:sz="4"/>
          <w:insideH w:val="single" w:color="E6E9ED" w:sz="4"/>
          <w:insideV w:val="single" w:color="E6E9ED" w:sz="4"/>
        </w:tblBorders>
      </w:tblPr>
      <w:tblGrid>
        <w:gridCol w:w="3000"/>
        <w:gridCol w:w="2013"/>
        <w:gridCol w:w="2013"/>
        <w:gridCol w:w="2000"/>
      </w:tblGrid>
      <w:tr>
        <w:trPr>
          <w:tblHeader/>
        </w:trPr>
        <w:tc>
          <w:tcPr>
            <w:tcW w:type="dxa" w:w="3000"/>
            <w:shd w:fill="F0F2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B7488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2013"/>
            <w:shd w:fill="F0F2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B7488"/>
                <w:sz w:val="20"/>
                <w:szCs w:val="20"/>
              </w:rPr>
              <w:t xml:space="preserve">Эта неделя</w:t>
            </w:r>
          </w:p>
        </w:tc>
        <w:tc>
          <w:tcPr>
            <w:tcW w:type="dxa" w:w="2013"/>
            <w:shd w:fill="F0F2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B7488"/>
                <w:sz w:val="20"/>
                <w:szCs w:val="20"/>
              </w:rPr>
              <w:t xml:space="preserve">Прошлая</w:t>
            </w:r>
          </w:p>
        </w:tc>
        <w:tc>
          <w:tcPr>
            <w:tcW w:type="dxa" w:w="2000"/>
            <w:shd w:fill="F0F2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B7488"/>
                <w:sz w:val="20"/>
                <w:szCs w:val="20"/>
              </w:rPr>
              <w:t xml:space="preserve">Изменение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Просмотры</w:t>
            </w:r>
          </w:p>
        </w:tc>
        <w:tc>
          <w:tcPr>
            <w:tcW w:type="dxa" w:w="20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197</w:t>
            </w:r>
          </w:p>
        </w:tc>
        <w:tc>
          <w:tcPr>
            <w:tcW w:type="dxa" w:w="20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131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+50%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Обращения</w:t>
            </w:r>
          </w:p>
        </w:tc>
        <w:tc>
          <w:tcPr>
            <w:tcW w:type="dxa" w:w="20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dxa" w:w="20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+110%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В избранном</w:t>
            </w:r>
          </w:p>
        </w:tc>
        <w:tc>
          <w:tcPr>
            <w:tcW w:type="dxa" w:w="20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41</w:t>
            </w:r>
          </w:p>
        </w:tc>
        <w:tc>
          <w:tcPr>
            <w:tcW w:type="dxa" w:w="20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35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+17%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Конверсия</w:t>
            </w:r>
          </w:p>
        </w:tc>
        <w:tc>
          <w:tcPr>
            <w:tcW w:type="dxa" w:w="20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10,7%</w:t>
            </w:r>
          </w:p>
        </w:tc>
        <w:tc>
          <w:tcPr>
            <w:tcW w:type="dxa" w:w="20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7,6%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+3,1 п.п.</w:t>
            </w:r>
          </w:p>
        </w:tc>
      </w:tr>
    </w:tbl>
    <w:p>
      <w:pPr>
        <w:spacing w:after="140" w:line="280"/>
      </w:pPr>
      <w:r>
        <w:rPr>
          <w:rFonts w:ascii="Calibri" w:cs="Calibri" w:eastAsia="Calibri" w:hAnsi="Calibri"/>
          <w:i/>
          <w:iCs/>
          <w:color w:val="6B7488"/>
          <w:sz w:val="20"/>
          <w:szCs w:val="20"/>
        </w:rPr>
        <w:t xml:space="preserve">Цифры маленькие: 21 обращение против 10. На таком масштабе разница может оказаться колебанием, а не трендом. Через две-три недели картина станет надёжнее.</w:t>
      </w:r>
    </w:p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Пять находок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C9490A"/>
          <w:sz w:val="24"/>
          <w:szCs w:val="24"/>
        </w:rPr>
        <w:t xml:space="preserve">1. Продвижение не включено ни на одном объявлении</w:t>
      </w:r>
    </w:p>
    <w:p>
      <w:pPr>
        <w:spacing w:after="14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Проверено по каждому объявлению: поле услуг продвижения пустое везде. Все 2 274 просмотра — органика, без единого рубля вложений. Это не экономия, а неиспользованный рычаг при готовых работающих текстах.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C9490A"/>
          <w:sz w:val="24"/>
          <w:szCs w:val="24"/>
        </w:rPr>
        <w:t xml:space="preserve">2. Телевизор и мотоцикл съедают пятую часть охвата</w:t>
      </w:r>
    </w:p>
    <w:p>
      <w:pPr>
        <w:spacing w:after="14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«Телевизор samsung на запчасти» — 235 просмотров и 3 обращения. «GT GT EV2» — 212 просмотров и ноль обращений. Вместе 447 просмотров, то есть 20% всего охвата профиля. Б/у телевизор видят чаще, чем любое объявление об обучении. Плюс человек, зашедший в профиль, видит мотоцикл и запчасти рядом с курсом по нейросетям.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C9490A"/>
          <w:sz w:val="24"/>
          <w:szCs w:val="24"/>
        </w:rPr>
        <w:t xml:space="preserve">3. Один заголовок на 33 города — это один поисковый запрос</w:t>
      </w:r>
    </w:p>
    <w:p>
      <w:pPr>
        <w:spacing w:after="14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«Обучение работе с нейросетями за 14 дней с нуля» размещено в 33 городах. Сетка по географии построена хорошо, но ловит она ровно одну формулировку. Мимо проходят все, кто ищет «ChatGPT обучение», «нейросети для бизнеса», «нейрофото», «контент для соцсетей», «автоматизация».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C9490A"/>
          <w:sz w:val="24"/>
          <w:szCs w:val="24"/>
        </w:rPr>
        <w:t xml:space="preserve">4. В Петербурге объявления конкурируют сами с собой</w:t>
      </w:r>
    </w:p>
    <w:p>
      <w:pPr>
        <w:spacing w:after="14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Четыре объявления с одинаковым заголовком в одном городе. Два из них: 28 просмотров и ноль обращений, 11 просмотров и ноль обращений. Avito делит между ними одну выдачу, слабые тянут вниз сильные.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C9490A"/>
          <w:sz w:val="24"/>
          <w:szCs w:val="24"/>
        </w:rPr>
        <w:t xml:space="preserve">5. Избранного в 2,3 раза больше, чем обращений</w:t>
      </w:r>
    </w:p>
    <w:p>
      <w:pPr>
        <w:spacing w:after="14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383 человека сохранили объявление и не написали. Это люди, которые уже заинтересовались и остановились перед последним шагом. Обычно так выглядит слишком высокий порог входа: первый шаг стоит 3 000 ₽, человек сохраняет «на подумать» и не возвращается.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География</w:t>
      </w:r>
    </w:p>
    <w:p>
      <w:pPr>
        <w:spacing w:after="14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Один и тот же текст даёт от 0% до 17% конверсии в зависимости от города. Это подсказка, куда вкладывать.</w:t>
      </w:r>
    </w:p>
    <w:tbl>
      <w:tblPr>
        <w:tblW w:type="dxa" w:w="9026"/>
        <w:tblBorders>
          <w:top w:val="single" w:color="D6DAE0" w:sz="4"/>
          <w:left w:val="single" w:color="D6DAE0" w:sz="4"/>
          <w:bottom w:val="single" w:color="D6DAE0" w:sz="4"/>
          <w:right w:val="single" w:color="D6DAE0" w:sz="4"/>
          <w:insideH w:val="single" w:color="E6E9ED" w:sz="4"/>
          <w:insideV w:val="single" w:color="E6E9ED" w:sz="4"/>
        </w:tblBorders>
      </w:tblPr>
      <w:tblGrid>
        <w:gridCol w:w="2800"/>
        <w:gridCol w:w="1500"/>
        <w:gridCol w:w="1500"/>
        <w:gridCol w:w="1200"/>
        <w:gridCol w:w="2026"/>
      </w:tblGrid>
      <w:tr>
        <w:trPr>
          <w:tblHeader/>
        </w:trPr>
        <w:tc>
          <w:tcPr>
            <w:tcW w:type="dxa" w:w="2800"/>
            <w:shd w:fill="F0F2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B7488"/>
                <w:sz w:val="20"/>
                <w:szCs w:val="20"/>
              </w:rPr>
              <w:t xml:space="preserve">Город</w:t>
            </w:r>
          </w:p>
        </w:tc>
        <w:tc>
          <w:tcPr>
            <w:tcW w:type="dxa" w:w="1500"/>
            <w:shd w:fill="F0F2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B7488"/>
                <w:sz w:val="20"/>
                <w:szCs w:val="20"/>
              </w:rPr>
              <w:t xml:space="preserve">Просм.</w:t>
            </w:r>
          </w:p>
        </w:tc>
        <w:tc>
          <w:tcPr>
            <w:tcW w:type="dxa" w:w="1500"/>
            <w:shd w:fill="F0F2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B7488"/>
                <w:sz w:val="20"/>
                <w:szCs w:val="20"/>
              </w:rPr>
              <w:t xml:space="preserve">Обращ.</w:t>
            </w:r>
          </w:p>
        </w:tc>
        <w:tc>
          <w:tcPr>
            <w:tcW w:type="dxa" w:w="1200"/>
            <w:shd w:fill="F0F2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B7488"/>
                <w:sz w:val="20"/>
                <w:szCs w:val="20"/>
              </w:rPr>
              <w:t xml:space="preserve">CR</w:t>
            </w:r>
          </w:p>
        </w:tc>
        <w:tc>
          <w:tcPr>
            <w:tcW w:type="dxa" w:w="2026"/>
            <w:shd w:fill="F0F2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B7488"/>
                <w:sz w:val="20"/>
                <w:szCs w:val="20"/>
              </w:rPr>
              <w:t xml:space="preserve">Вывод</w:t>
            </w:r>
          </w:p>
        </w:tc>
      </w:tr>
      <w:tr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Ростов-на-Дону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162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12,3%</w:t>
            </w:r>
          </w:p>
        </w:tc>
        <w:tc>
          <w:tcPr>
            <w:tcW w:type="dxa" w:w="20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лучший, продвигать</w:t>
            </w:r>
          </w:p>
        </w:tc>
      </w:tr>
      <w:tr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Казань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112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12,5%</w:t>
            </w:r>
          </w:p>
        </w:tc>
        <w:tc>
          <w:tcPr>
            <w:tcW w:type="dxa" w:w="20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лучший, продвигать</w:t>
            </w:r>
          </w:p>
        </w:tc>
      </w:tr>
      <w:tr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Махачкала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94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9,6%</w:t>
            </w:r>
          </w:p>
        </w:tc>
        <w:tc>
          <w:tcPr>
            <w:tcW w:type="dxa" w:w="20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сильный</w:t>
            </w:r>
          </w:p>
        </w:tc>
      </w:tr>
      <w:tr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Сочи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83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10,8%</w:t>
            </w:r>
          </w:p>
        </w:tc>
        <w:tc>
          <w:tcPr>
            <w:tcW w:type="dxa" w:w="20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сильный</w:t>
            </w:r>
          </w:p>
        </w:tc>
      </w:tr>
      <w:tr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Новосибирск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69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11,6%</w:t>
            </w:r>
          </w:p>
        </w:tc>
        <w:tc>
          <w:tcPr>
            <w:tcW w:type="dxa" w:w="20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сильный</w:t>
            </w:r>
          </w:p>
        </w:tc>
      </w:tr>
      <w:tr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Уфа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61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13,1%</w:t>
            </w:r>
          </w:p>
        </w:tc>
        <w:tc>
          <w:tcPr>
            <w:tcW w:type="dxa" w:w="20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мало показов</w:t>
            </w:r>
          </w:p>
        </w:tc>
      </w:tr>
      <w:tr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Химки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29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17,2%</w:t>
            </w:r>
          </w:p>
        </w:tc>
        <w:tc>
          <w:tcPr>
            <w:tcW w:type="dxa" w:w="20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рекорд, данных мало</w:t>
            </w:r>
          </w:p>
        </w:tc>
      </w:tr>
      <w:tr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Астрахань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42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2,4%</w:t>
            </w:r>
          </w:p>
        </w:tc>
        <w:tc>
          <w:tcPr>
            <w:tcW w:type="dxa" w:w="20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не работает</w:t>
            </w:r>
          </w:p>
        </w:tc>
      </w:tr>
      <w:tr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Саратов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35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2,9%</w:t>
            </w:r>
          </w:p>
        </w:tc>
        <w:tc>
          <w:tcPr>
            <w:tcW w:type="dxa" w:w="20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не работает</w:t>
            </w:r>
          </w:p>
        </w:tc>
      </w:tr>
      <w:tr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Волгоград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34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2,9%</w:t>
            </w:r>
          </w:p>
        </w:tc>
        <w:tc>
          <w:tcPr>
            <w:tcW w:type="dxa" w:w="20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не работает</w:t>
            </w:r>
          </w:p>
        </w:tc>
      </w:tr>
      <w:tr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Кемерово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0%</w:t>
            </w:r>
          </w:p>
        </w:tc>
        <w:tc>
          <w:tcPr>
            <w:tcW w:type="dxa" w:w="20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мёртвое</w:t>
            </w:r>
          </w:p>
        </w:tc>
      </w:tr>
      <w:tr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Петербург, дубль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28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0%</w:t>
            </w:r>
          </w:p>
        </w:tc>
        <w:tc>
          <w:tcPr>
            <w:tcW w:type="dxa" w:w="20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каннибализация</w:t>
            </w:r>
          </w:p>
        </w:tc>
      </w:tr>
      <w:tr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Петербург, дубль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0%</w:t>
            </w:r>
          </w:p>
        </w:tc>
        <w:tc>
          <w:tcPr>
            <w:tcW w:type="dxa" w:w="20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каннибализация</w:t>
            </w:r>
          </w:p>
        </w:tc>
      </w:tr>
    </w:tbl>
    <w:p>
      <w:pPr>
        <w:spacing w:after="140" w:line="280"/>
      </w:pPr>
      <w:r>
        <w:rPr>
          <w:rFonts w:ascii="Calibri" w:cs="Calibri" w:eastAsia="Calibri" w:hAnsi="Calibri"/>
          <w:i/>
          <w:iCs/>
          <w:color w:val="6B7488"/>
          <w:sz w:val="20"/>
          <w:szCs w:val="20"/>
        </w:rPr>
        <w:t xml:space="preserve">Ростов и Казань вместе дают треть всех обращений профиля.</w:t>
      </w:r>
    </w:p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План действий</w:t>
      </w:r>
    </w:p>
    <w:p>
      <w:pPr>
        <w:spacing w:after="14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По порядку, от самого быстрого к самому важному.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C9490A"/>
          <w:sz w:val="24"/>
          <w:szCs w:val="24"/>
        </w:rPr>
        <w:t xml:space="preserve">1. Включить продвижение на шести лучших городах — около 1 300 ₽</w:t>
      </w:r>
    </w:p>
    <w:p>
      <w:pPr>
        <w:spacing w:after="14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Ростов, Казань, Махачкала, Сочи, Новосибирск, Уфа. Тексты там конвертят 9–13%, им не хватает только показов. Доступные услуги: «Выделение цветом» и «XL-объявление», по 217 ₽ за объявление. Это единственный пункт плана, который требует денег.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C9490A"/>
          <w:sz w:val="24"/>
          <w:szCs w:val="24"/>
        </w:rPr>
        <w:t xml:space="preserve">2. Убрать из профиля телевизор, мотоцикл и резюме — бесплатно, 5 минут</w:t>
      </w:r>
    </w:p>
    <w:p>
      <w:pPr>
        <w:spacing w:after="14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Освободит пятую часть охвата и уберёт разнобой в профиле. Резюме «Веб-дизайнер» за 90 дней собрало ноль просмотров.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C9490A"/>
          <w:sz w:val="24"/>
          <w:szCs w:val="24"/>
        </w:rPr>
        <w:t xml:space="preserve">3. Развести дубли в Петербурге — бесплатно, 10 минут</w:t>
      </w:r>
    </w:p>
    <w:p>
      <w:pPr>
        <w:spacing w:after="14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Оставить одно сильное объявление, два пустых снять или переписать под другой запрос.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C9490A"/>
          <w:sz w:val="24"/>
          <w:szCs w:val="24"/>
        </w:rPr>
        <w:t xml:space="preserve">4. Добавить дешёвый вход 500–990 ₽ — бесплатно, тест на две недели</w:t>
      </w:r>
    </w:p>
    <w:p>
      <w:pPr>
        <w:spacing w:after="14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383 человека сохранили и не написали: им дорог первый шаг в 3 000 ₽. Разовая консультация за 990 ₽ заберёт часть этих людей. Ставить не вместо основного, а рядом, отдельным объявлением.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C9490A"/>
          <w:sz w:val="24"/>
          <w:szCs w:val="24"/>
        </w:rPr>
        <w:t xml:space="preserve">5. Второй и третий заголовок под другие запросы — главный рычаг роста</w:t>
      </w:r>
    </w:p>
    <w:p>
      <w:pPr>
        <w:spacing w:after="14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Сейчас один запрос на 33 города. Нужно три-четыре запроса на города. Добавить «Обучение ChatGPT с нуля», «Нейросети для бизнеса — автоматизация», «Нейрофото и видео для соцсетей». Начать с пяти лучших городов, не со всех тридцати трёх.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Что ещё стоит знать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Рейтинг 5,0, но отзывов всего 5. Для раздела услуг число отзывов прямо влияет на позицию в выдаче. Стоит попросить отзыв у каждого, кто уже учился.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Автозагрузка в кабинете уже включена, режим ручной, расписания нет. Значит массовую публикацию новых объявлений можно автоматизировать — фундамент стоит.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Услуга «Продвижение с прогнозом» (BBIP) для этих объявлений недоступна — Avito отвечает отказом. Поэтому точный прогноз прироста дать нельзя, проверяем на шести городах за 1 300 ₽ и смотрим факт.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Тексты объявлений через API не отдаются, так как заведены автозагрузкой. Для построчного разбора текста его нужно прислать отдельно.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За неделю 8–15 сентября 23 объявления из 38 не получили ни одного обращения. Почти все — города с единицами просмотров. Это подтверждение проблемы с охватом, а не с текстом.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Методика</w:t>
      </w:r>
    </w:p>
    <w:p>
      <w:pPr>
        <w:spacing w:after="14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Данные получены напрямую из Avito Business API 15 сентября 2026: список объявлений (/core/v1/items), статистика просмотров, обращений и добавлений в избранное (/stats/v1/accounts/{id}/items), статус услуг продвижения по каждому объявлению, рейтинг и отзывы (/ratings/v1/info).</w:t>
      </w:r>
    </w:p>
    <w:p>
      <w:pPr>
        <w:spacing w:after="14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Конверсия считается как отношение числа обращений к числу просмотров. Для объявлений с менее чем 30 просмотрами за период выводы не делались: на таких числах результат неотличим от случайного. Итоговая конверсия 8,9% посчитана по объявлениям об обучении, без телевизора, мотоцикла и резюме, которые к услугам отношения не имеют.</w:t>
      </w:r>
    </w:p>
    <w:p>
      <w:pPr>
        <w:spacing w:after="24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Расходы на продвижение не анализировались, поскольку продвижение не подключено: все расходы за период равны нулю.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Разбор кабинета Avito</dc:title>
  <dc:creator>Лиза Удахина</dc:creator>
  <cp:lastModifiedBy>Un-named</cp:lastModifiedBy>
  <cp:revision>1</cp:revision>
  <dcterms:created xsi:type="dcterms:W3CDTF">2026-09-15T22:47:12.247Z</dcterms:created>
  <dcterms:modified xsi:type="dcterms:W3CDTF">2026-09-15T22:47:12.247Z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