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0C29E" w14:textId="275220B4" w:rsidR="001B1C93" w:rsidRDefault="001B1C93">
      <w:r>
        <w:t>Data processing for Scotts sea lion counts</w:t>
      </w:r>
    </w:p>
    <w:p w14:paraId="669FE287" w14:textId="01055A57" w:rsidR="00BE6915" w:rsidRDefault="001B1C93">
      <w:r>
        <w:t>Cleaning up Scott’s Shilshole sea lion data for use in Ballard model</w:t>
      </w:r>
      <w:r w:rsidR="00D83D15">
        <w:t>.</w:t>
      </w:r>
    </w:p>
    <w:p w14:paraId="1613F766" w14:textId="4F553CD0" w:rsidR="00D83D15" w:rsidRDefault="00D83D15">
      <w:r>
        <w:t>Created copy of Sea lion raw data (old) so I could delete the total counts and counts from Everett or killer whale observations. Sometimes there are multiple counts per day at the same location, and sometimes it is just multiple independent counts at the same time. Super annoying to go through and summarize.</w:t>
      </w:r>
    </w:p>
    <w:p w14:paraId="6038595F" w14:textId="6B75DC79" w:rsidR="00506033" w:rsidRDefault="00506033">
      <w:r>
        <w:t xml:space="preserve">Ended up pulling out the counts labeled total in the location description and adding those to the summary table, and then pivot tabling the rest of them to sum by day and adding those totals. Then take the max total per day as the final value. Then pivot by month and take the max count per month. </w:t>
      </w:r>
    </w:p>
    <w:tbl>
      <w:tblPr>
        <w:tblW w:w="5572" w:type="dxa"/>
        <w:tblLook w:val="04A0" w:firstRow="1" w:lastRow="0" w:firstColumn="1" w:lastColumn="0" w:noHBand="0" w:noVBand="1"/>
      </w:tblPr>
      <w:tblGrid>
        <w:gridCol w:w="1476"/>
        <w:gridCol w:w="4096"/>
      </w:tblGrid>
      <w:tr w:rsidR="00506033" w:rsidRPr="00506033" w14:paraId="312EC429" w14:textId="77777777" w:rsidTr="00506033">
        <w:trPr>
          <w:trHeight w:val="255"/>
        </w:trPr>
        <w:tc>
          <w:tcPr>
            <w:tcW w:w="1476" w:type="dxa"/>
            <w:tcBorders>
              <w:top w:val="nil"/>
              <w:left w:val="nil"/>
              <w:bottom w:val="single" w:sz="4" w:space="0" w:color="8CB5F9"/>
              <w:right w:val="nil"/>
            </w:tcBorders>
            <w:shd w:val="clear" w:color="D9E7FD" w:fill="D9E7FD"/>
            <w:noWrap/>
            <w:vAlign w:val="bottom"/>
            <w:hideMark/>
          </w:tcPr>
          <w:p w14:paraId="40777C17" w14:textId="5F804875"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Pr>
                <w:rFonts w:ascii="Arial" w:eastAsia="Times New Roman" w:hAnsi="Arial" w:cs="Arial"/>
                <w:b/>
                <w:bCs/>
                <w:color w:val="000000"/>
                <w:kern w:val="0"/>
                <w:sz w:val="20"/>
                <w:szCs w:val="20"/>
                <w14:ligatures w14:val="none"/>
              </w:rPr>
              <w:t>Month</w:t>
            </w:r>
          </w:p>
        </w:tc>
        <w:tc>
          <w:tcPr>
            <w:tcW w:w="4096" w:type="dxa"/>
            <w:tcBorders>
              <w:top w:val="nil"/>
              <w:left w:val="nil"/>
              <w:bottom w:val="single" w:sz="4" w:space="0" w:color="8CB5F9"/>
              <w:right w:val="nil"/>
            </w:tcBorders>
            <w:shd w:val="clear" w:color="D9E7FD" w:fill="D9E7FD"/>
            <w:noWrap/>
            <w:vAlign w:val="bottom"/>
            <w:hideMark/>
          </w:tcPr>
          <w:p w14:paraId="42E047C9" w14:textId="77777777" w:rsidR="00506033" w:rsidRPr="00506033" w:rsidRDefault="00506033" w:rsidP="00506033">
            <w:pPr>
              <w:spacing w:after="0" w:line="240" w:lineRule="auto"/>
              <w:rPr>
                <w:rFonts w:ascii="Arial" w:eastAsia="Times New Roman" w:hAnsi="Arial" w:cs="Arial"/>
                <w:b/>
                <w:bCs/>
                <w:color w:val="000000"/>
                <w:kern w:val="0"/>
                <w:sz w:val="20"/>
                <w:szCs w:val="20"/>
                <w14:ligatures w14:val="none"/>
              </w:rPr>
            </w:pPr>
            <w:r w:rsidRPr="00506033">
              <w:rPr>
                <w:rFonts w:ascii="Arial" w:eastAsia="Times New Roman" w:hAnsi="Arial" w:cs="Arial"/>
                <w:b/>
                <w:bCs/>
                <w:color w:val="000000"/>
                <w:kern w:val="0"/>
                <w:sz w:val="20"/>
                <w:szCs w:val="20"/>
                <w14:ligatures w14:val="none"/>
              </w:rPr>
              <w:t>Max of Max Daily Total Count (Shilshole)</w:t>
            </w:r>
          </w:p>
        </w:tc>
      </w:tr>
      <w:tr w:rsidR="00506033" w:rsidRPr="00506033" w14:paraId="20A02FB6" w14:textId="77777777" w:rsidTr="00506033">
        <w:trPr>
          <w:trHeight w:val="255"/>
        </w:trPr>
        <w:tc>
          <w:tcPr>
            <w:tcW w:w="1476" w:type="dxa"/>
            <w:tcBorders>
              <w:top w:val="nil"/>
              <w:left w:val="nil"/>
              <w:bottom w:val="nil"/>
              <w:right w:val="nil"/>
            </w:tcBorders>
            <w:shd w:val="clear" w:color="auto" w:fill="auto"/>
            <w:noWrap/>
            <w:vAlign w:val="bottom"/>
            <w:hideMark/>
          </w:tcPr>
          <w:p w14:paraId="6A282013"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c>
          <w:tcPr>
            <w:tcW w:w="4096" w:type="dxa"/>
            <w:tcBorders>
              <w:top w:val="nil"/>
              <w:left w:val="nil"/>
              <w:bottom w:val="nil"/>
              <w:right w:val="nil"/>
            </w:tcBorders>
            <w:shd w:val="clear" w:color="auto" w:fill="auto"/>
            <w:noWrap/>
            <w:vAlign w:val="bottom"/>
            <w:hideMark/>
          </w:tcPr>
          <w:p w14:paraId="2063682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163</w:t>
            </w:r>
          </w:p>
        </w:tc>
      </w:tr>
      <w:tr w:rsidR="00506033" w:rsidRPr="00506033" w14:paraId="7625E958" w14:textId="77777777" w:rsidTr="00506033">
        <w:trPr>
          <w:trHeight w:val="255"/>
        </w:trPr>
        <w:tc>
          <w:tcPr>
            <w:tcW w:w="1476" w:type="dxa"/>
            <w:tcBorders>
              <w:top w:val="nil"/>
              <w:left w:val="nil"/>
              <w:bottom w:val="nil"/>
              <w:right w:val="nil"/>
            </w:tcBorders>
            <w:shd w:val="clear" w:color="auto" w:fill="auto"/>
            <w:noWrap/>
            <w:vAlign w:val="bottom"/>
            <w:hideMark/>
          </w:tcPr>
          <w:p w14:paraId="3C5316C9"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2</w:t>
            </w:r>
          </w:p>
        </w:tc>
        <w:tc>
          <w:tcPr>
            <w:tcW w:w="4096" w:type="dxa"/>
            <w:tcBorders>
              <w:top w:val="nil"/>
              <w:left w:val="nil"/>
              <w:bottom w:val="nil"/>
              <w:right w:val="nil"/>
            </w:tcBorders>
            <w:shd w:val="clear" w:color="auto" w:fill="auto"/>
            <w:noWrap/>
            <w:vAlign w:val="bottom"/>
            <w:hideMark/>
          </w:tcPr>
          <w:p w14:paraId="5A9DE34D"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166</w:t>
            </w:r>
          </w:p>
        </w:tc>
      </w:tr>
      <w:tr w:rsidR="00506033" w:rsidRPr="00506033" w14:paraId="5121C900" w14:textId="77777777" w:rsidTr="00506033">
        <w:trPr>
          <w:trHeight w:val="255"/>
        </w:trPr>
        <w:tc>
          <w:tcPr>
            <w:tcW w:w="1476" w:type="dxa"/>
            <w:tcBorders>
              <w:top w:val="nil"/>
              <w:left w:val="nil"/>
              <w:bottom w:val="nil"/>
              <w:right w:val="nil"/>
            </w:tcBorders>
            <w:shd w:val="clear" w:color="auto" w:fill="auto"/>
            <w:noWrap/>
            <w:vAlign w:val="bottom"/>
            <w:hideMark/>
          </w:tcPr>
          <w:p w14:paraId="2775D626"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3</w:t>
            </w:r>
          </w:p>
        </w:tc>
        <w:tc>
          <w:tcPr>
            <w:tcW w:w="4096" w:type="dxa"/>
            <w:tcBorders>
              <w:top w:val="nil"/>
              <w:left w:val="nil"/>
              <w:bottom w:val="nil"/>
              <w:right w:val="nil"/>
            </w:tcBorders>
            <w:shd w:val="clear" w:color="auto" w:fill="auto"/>
            <w:noWrap/>
            <w:vAlign w:val="bottom"/>
            <w:hideMark/>
          </w:tcPr>
          <w:p w14:paraId="6EA528F9"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07A4D84F" w14:textId="77777777" w:rsidTr="00506033">
        <w:trPr>
          <w:trHeight w:val="255"/>
        </w:trPr>
        <w:tc>
          <w:tcPr>
            <w:tcW w:w="1476" w:type="dxa"/>
            <w:tcBorders>
              <w:top w:val="nil"/>
              <w:left w:val="nil"/>
              <w:bottom w:val="nil"/>
              <w:right w:val="nil"/>
            </w:tcBorders>
            <w:shd w:val="clear" w:color="auto" w:fill="auto"/>
            <w:noWrap/>
            <w:vAlign w:val="bottom"/>
            <w:hideMark/>
          </w:tcPr>
          <w:p w14:paraId="1828D84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w:t>
            </w:r>
          </w:p>
        </w:tc>
        <w:tc>
          <w:tcPr>
            <w:tcW w:w="4096" w:type="dxa"/>
            <w:tcBorders>
              <w:top w:val="nil"/>
              <w:left w:val="nil"/>
              <w:bottom w:val="nil"/>
              <w:right w:val="nil"/>
            </w:tcBorders>
            <w:shd w:val="clear" w:color="auto" w:fill="auto"/>
            <w:noWrap/>
            <w:vAlign w:val="bottom"/>
            <w:hideMark/>
          </w:tcPr>
          <w:p w14:paraId="71FCBB28"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96</w:t>
            </w:r>
          </w:p>
        </w:tc>
      </w:tr>
      <w:tr w:rsidR="00506033" w:rsidRPr="00506033" w14:paraId="5719902C" w14:textId="77777777" w:rsidTr="00506033">
        <w:trPr>
          <w:trHeight w:val="255"/>
        </w:trPr>
        <w:tc>
          <w:tcPr>
            <w:tcW w:w="1476" w:type="dxa"/>
            <w:tcBorders>
              <w:top w:val="nil"/>
              <w:left w:val="nil"/>
              <w:bottom w:val="nil"/>
              <w:right w:val="nil"/>
            </w:tcBorders>
            <w:shd w:val="clear" w:color="auto" w:fill="auto"/>
            <w:noWrap/>
            <w:vAlign w:val="bottom"/>
            <w:hideMark/>
          </w:tcPr>
          <w:p w14:paraId="5A0AFC0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5</w:t>
            </w:r>
          </w:p>
        </w:tc>
        <w:tc>
          <w:tcPr>
            <w:tcW w:w="4096" w:type="dxa"/>
            <w:tcBorders>
              <w:top w:val="nil"/>
              <w:left w:val="nil"/>
              <w:bottom w:val="nil"/>
              <w:right w:val="nil"/>
            </w:tcBorders>
            <w:shd w:val="clear" w:color="auto" w:fill="auto"/>
            <w:noWrap/>
            <w:vAlign w:val="bottom"/>
            <w:hideMark/>
          </w:tcPr>
          <w:p w14:paraId="7273949F"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80</w:t>
            </w:r>
          </w:p>
        </w:tc>
      </w:tr>
      <w:tr w:rsidR="00506033" w:rsidRPr="00506033" w14:paraId="74410039" w14:textId="77777777" w:rsidTr="00506033">
        <w:trPr>
          <w:trHeight w:val="255"/>
        </w:trPr>
        <w:tc>
          <w:tcPr>
            <w:tcW w:w="1476" w:type="dxa"/>
            <w:tcBorders>
              <w:top w:val="nil"/>
              <w:left w:val="nil"/>
              <w:bottom w:val="nil"/>
              <w:right w:val="nil"/>
            </w:tcBorders>
            <w:shd w:val="clear" w:color="auto" w:fill="auto"/>
            <w:noWrap/>
            <w:vAlign w:val="bottom"/>
            <w:hideMark/>
          </w:tcPr>
          <w:p w14:paraId="0ABCBDEE"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6</w:t>
            </w:r>
          </w:p>
        </w:tc>
        <w:tc>
          <w:tcPr>
            <w:tcW w:w="4096" w:type="dxa"/>
            <w:tcBorders>
              <w:top w:val="nil"/>
              <w:left w:val="nil"/>
              <w:bottom w:val="nil"/>
              <w:right w:val="nil"/>
            </w:tcBorders>
            <w:shd w:val="clear" w:color="auto" w:fill="auto"/>
            <w:noWrap/>
            <w:vAlign w:val="bottom"/>
            <w:hideMark/>
          </w:tcPr>
          <w:p w14:paraId="05CF140E"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42</w:t>
            </w:r>
          </w:p>
        </w:tc>
      </w:tr>
      <w:tr w:rsidR="00506033" w:rsidRPr="00506033" w14:paraId="0816C24A" w14:textId="77777777" w:rsidTr="00506033">
        <w:trPr>
          <w:trHeight w:val="255"/>
        </w:trPr>
        <w:tc>
          <w:tcPr>
            <w:tcW w:w="1476" w:type="dxa"/>
            <w:tcBorders>
              <w:top w:val="nil"/>
              <w:left w:val="nil"/>
              <w:bottom w:val="nil"/>
              <w:right w:val="nil"/>
            </w:tcBorders>
            <w:shd w:val="clear" w:color="auto" w:fill="auto"/>
            <w:noWrap/>
            <w:vAlign w:val="bottom"/>
            <w:hideMark/>
          </w:tcPr>
          <w:p w14:paraId="7CB2922D"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7</w:t>
            </w:r>
          </w:p>
        </w:tc>
        <w:tc>
          <w:tcPr>
            <w:tcW w:w="4096" w:type="dxa"/>
            <w:tcBorders>
              <w:top w:val="nil"/>
              <w:left w:val="nil"/>
              <w:bottom w:val="nil"/>
              <w:right w:val="nil"/>
            </w:tcBorders>
            <w:shd w:val="clear" w:color="auto" w:fill="auto"/>
            <w:noWrap/>
            <w:vAlign w:val="bottom"/>
            <w:hideMark/>
          </w:tcPr>
          <w:p w14:paraId="699EB1C5"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506033" w:rsidRPr="00506033" w14:paraId="721354E9" w14:textId="77777777" w:rsidTr="00506033">
        <w:trPr>
          <w:trHeight w:val="255"/>
        </w:trPr>
        <w:tc>
          <w:tcPr>
            <w:tcW w:w="1476" w:type="dxa"/>
            <w:tcBorders>
              <w:top w:val="nil"/>
              <w:left w:val="nil"/>
              <w:bottom w:val="nil"/>
              <w:right w:val="nil"/>
            </w:tcBorders>
            <w:shd w:val="clear" w:color="auto" w:fill="auto"/>
            <w:noWrap/>
            <w:vAlign w:val="bottom"/>
            <w:hideMark/>
          </w:tcPr>
          <w:p w14:paraId="6C283DB0"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9</w:t>
            </w:r>
          </w:p>
        </w:tc>
        <w:tc>
          <w:tcPr>
            <w:tcW w:w="4096" w:type="dxa"/>
            <w:tcBorders>
              <w:top w:val="nil"/>
              <w:left w:val="nil"/>
              <w:bottom w:val="nil"/>
              <w:right w:val="nil"/>
            </w:tcBorders>
            <w:shd w:val="clear" w:color="auto" w:fill="auto"/>
            <w:noWrap/>
            <w:vAlign w:val="bottom"/>
            <w:hideMark/>
          </w:tcPr>
          <w:p w14:paraId="5ED37A9A"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w:t>
            </w:r>
          </w:p>
        </w:tc>
      </w:tr>
      <w:tr w:rsidR="00506033" w:rsidRPr="00506033" w14:paraId="3B1DDBB5" w14:textId="77777777" w:rsidTr="00506033">
        <w:trPr>
          <w:trHeight w:val="255"/>
        </w:trPr>
        <w:tc>
          <w:tcPr>
            <w:tcW w:w="1476" w:type="dxa"/>
            <w:tcBorders>
              <w:top w:val="nil"/>
              <w:left w:val="nil"/>
              <w:bottom w:val="nil"/>
              <w:right w:val="nil"/>
            </w:tcBorders>
            <w:shd w:val="clear" w:color="auto" w:fill="auto"/>
            <w:noWrap/>
            <w:vAlign w:val="bottom"/>
            <w:hideMark/>
          </w:tcPr>
          <w:p w14:paraId="6AAD6F38" w14:textId="77777777" w:rsidR="00506033" w:rsidRPr="00506033" w:rsidRDefault="00506033" w:rsidP="00506033">
            <w:pPr>
              <w:spacing w:after="0" w:line="240" w:lineRule="auto"/>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10</w:t>
            </w:r>
          </w:p>
        </w:tc>
        <w:tc>
          <w:tcPr>
            <w:tcW w:w="4096" w:type="dxa"/>
            <w:tcBorders>
              <w:top w:val="nil"/>
              <w:left w:val="nil"/>
              <w:bottom w:val="nil"/>
              <w:right w:val="nil"/>
            </w:tcBorders>
            <w:shd w:val="clear" w:color="auto" w:fill="auto"/>
            <w:noWrap/>
            <w:vAlign w:val="bottom"/>
            <w:hideMark/>
          </w:tcPr>
          <w:p w14:paraId="1A90ABDC" w14:textId="77777777" w:rsidR="00506033" w:rsidRPr="00506033" w:rsidRDefault="00506033" w:rsidP="00506033">
            <w:pPr>
              <w:spacing w:after="0" w:line="240" w:lineRule="auto"/>
              <w:jc w:val="right"/>
              <w:rPr>
                <w:rFonts w:ascii="Arial" w:eastAsia="Times New Roman" w:hAnsi="Arial" w:cs="Arial"/>
                <w:color w:val="000000"/>
                <w:kern w:val="0"/>
                <w:sz w:val="20"/>
                <w:szCs w:val="20"/>
                <w14:ligatures w14:val="none"/>
              </w:rPr>
            </w:pPr>
            <w:r w:rsidRPr="00506033">
              <w:rPr>
                <w:rFonts w:ascii="Arial" w:eastAsia="Times New Roman" w:hAnsi="Arial" w:cs="Arial"/>
                <w:color w:val="000000"/>
                <w:kern w:val="0"/>
                <w:sz w:val="20"/>
                <w:szCs w:val="20"/>
                <w14:ligatures w14:val="none"/>
              </w:rPr>
              <w:t>0</w:t>
            </w:r>
          </w:p>
        </w:tc>
      </w:tr>
      <w:tr w:rsidR="00F174D1" w:rsidRPr="00506033" w14:paraId="5C1544E5" w14:textId="77777777" w:rsidTr="00506033">
        <w:trPr>
          <w:trHeight w:val="255"/>
        </w:trPr>
        <w:tc>
          <w:tcPr>
            <w:tcW w:w="1476" w:type="dxa"/>
            <w:tcBorders>
              <w:top w:val="nil"/>
              <w:left w:val="nil"/>
              <w:bottom w:val="nil"/>
              <w:right w:val="nil"/>
            </w:tcBorders>
            <w:shd w:val="clear" w:color="auto" w:fill="auto"/>
            <w:noWrap/>
            <w:vAlign w:val="bottom"/>
          </w:tcPr>
          <w:p w14:paraId="27CAF812" w14:textId="47188113" w:rsidR="00F174D1" w:rsidRPr="00506033" w:rsidRDefault="00F174D1" w:rsidP="00506033">
            <w:pPr>
              <w:spacing w:after="0" w:line="240" w:lineRule="auto"/>
              <w:rPr>
                <w:rFonts w:ascii="Arial" w:eastAsia="Times New Roman" w:hAnsi="Arial" w:cs="Arial"/>
                <w:color w:val="000000"/>
                <w:kern w:val="0"/>
                <w:sz w:val="20"/>
                <w:szCs w:val="20"/>
                <w14:ligatures w14:val="none"/>
              </w:rPr>
            </w:pPr>
          </w:p>
        </w:tc>
        <w:tc>
          <w:tcPr>
            <w:tcW w:w="4096" w:type="dxa"/>
            <w:tcBorders>
              <w:top w:val="nil"/>
              <w:left w:val="nil"/>
              <w:bottom w:val="nil"/>
              <w:right w:val="nil"/>
            </w:tcBorders>
            <w:shd w:val="clear" w:color="auto" w:fill="auto"/>
            <w:noWrap/>
            <w:vAlign w:val="bottom"/>
          </w:tcPr>
          <w:p w14:paraId="309B97A4" w14:textId="77777777" w:rsidR="00F174D1" w:rsidRPr="00506033" w:rsidRDefault="00F174D1" w:rsidP="00506033">
            <w:pPr>
              <w:spacing w:after="0" w:line="240" w:lineRule="auto"/>
              <w:jc w:val="right"/>
              <w:rPr>
                <w:rFonts w:ascii="Arial" w:eastAsia="Times New Roman" w:hAnsi="Arial" w:cs="Arial"/>
                <w:color w:val="000000"/>
                <w:kern w:val="0"/>
                <w:sz w:val="20"/>
                <w:szCs w:val="20"/>
                <w14:ligatures w14:val="none"/>
              </w:rPr>
            </w:pPr>
          </w:p>
        </w:tc>
      </w:tr>
    </w:tbl>
    <w:p w14:paraId="177BB9A6" w14:textId="77777777" w:rsidR="00506033" w:rsidRDefault="00506033"/>
    <w:p w14:paraId="6DD45168" w14:textId="10DC6932" w:rsidR="00F174D1" w:rsidRDefault="00F174D1">
      <w:r>
        <w:t xml:space="preserve">Comments in the data mention that starting in 2023 sea lions showed up at Shilshole right around the week between Christmas and new </w:t>
      </w:r>
      <w:proofErr w:type="spellStart"/>
      <w:r>
        <w:t>years</w:t>
      </w:r>
      <w:proofErr w:type="spellEnd"/>
      <w:r>
        <w:t xml:space="preserve">, so I’m keeping it at 0 for December </w:t>
      </w:r>
      <w:proofErr w:type="spellStart"/>
      <w:r>
        <w:t>bc</w:t>
      </w:r>
      <w:proofErr w:type="spellEnd"/>
      <w:r>
        <w:t xml:space="preserve"> it is 0 for most of the month.</w:t>
      </w:r>
    </w:p>
    <w:p w14:paraId="41CFBB29" w14:textId="546EBEC9" w:rsidR="00F174D1" w:rsidRDefault="00A524F1">
      <w:r>
        <w:t xml:space="preserve">Scott said only </w:t>
      </w:r>
      <w:proofErr w:type="spellStart"/>
      <w:r>
        <w:t>Californias</w:t>
      </w:r>
      <w:proofErr w:type="spellEnd"/>
      <w:r>
        <w:t xml:space="preserve"> but also mentioned that he’s really bad at telling them apart. </w:t>
      </w:r>
    </w:p>
    <w:p w14:paraId="2A03ED66" w14:textId="6601EC6C" w:rsidR="00A524F1" w:rsidRDefault="00A524F1">
      <w:r>
        <w:t xml:space="preserve"> Counts were also separated by location in the Sea lion survey (~weekly) sheet. Totals for the Locks to Ray’s region were mostly 0, some 1s, max 8. 1 in April, then fairly consistent presence in Sept to early October. These counts seem to be from 2024 and start in February and go through early October. So no data for crucial time period around the coho fishery yet. Ask Ava et al. to fill in the gaps. </w:t>
      </w:r>
      <w:r w:rsidR="00D93977">
        <w:t xml:space="preserve">Need to ask them about presence above the Locks anyway. </w:t>
      </w:r>
    </w:p>
    <w:sectPr w:rsidR="00A5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C93"/>
    <w:rsid w:val="001B1C93"/>
    <w:rsid w:val="00506033"/>
    <w:rsid w:val="00A524F1"/>
    <w:rsid w:val="00BE6915"/>
    <w:rsid w:val="00C004CF"/>
    <w:rsid w:val="00D83D15"/>
    <w:rsid w:val="00D93977"/>
    <w:rsid w:val="00F17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AA4C9"/>
  <w15:chartTrackingRefBased/>
  <w15:docId w15:val="{F6A29ADE-D583-4315-AE07-6F2A73843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00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Allyn</dc:creator>
  <cp:keywords/>
  <dc:description/>
  <cp:lastModifiedBy>Liz Allyn</cp:lastModifiedBy>
  <cp:revision>5</cp:revision>
  <dcterms:created xsi:type="dcterms:W3CDTF">2024-10-14T18:42:00Z</dcterms:created>
  <dcterms:modified xsi:type="dcterms:W3CDTF">2024-10-14T20:20:00Z</dcterms:modified>
</cp:coreProperties>
</file>