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276" w:lineRule="auto"/>
        <w:jc w:val="right"/>
      </w:pPr>
      <w:r>
        <w:rPr>
          <w:rFonts w:ascii="Arial" w:hAnsi="Arial" w:cs="Arial" w:eastAsia="Arial"/>
          <w:b/>
          <w:i w:val="0"/>
          <w:color w:val="1F3A5F"/>
          <w:sz w:val="32"/>
          <w:u w:val="none"/>
          <w:szCs w:val="32"/>
          <w:rtl/>
          <w:lang w:val="en-US" w:bidi="he-IL"/>
        </w:rPr>
        <w:t>אתיולוגיה של פגיעות מוחיות:</w:t>
      </w:r>
    </w:p>
    <w:p>
      <w:pPr>
        <w:bidi w:val="1"/>
        <w:spacing w:before="0" w:after="160" w:line="276" w:lineRule="auto"/>
        <w:jc w:val="right"/>
      </w:pPr>
      <w:r>
        <w:rPr>
          <w:rFonts w:ascii="Arial" w:hAnsi="Arial" w:cs="Arial" w:eastAsia="Arial"/>
          <w:b/>
          <w:i w:val="0"/>
          <w:color w:val="1F3A5F"/>
          <w:sz w:val="32"/>
          <w:u w:val="none"/>
          <w:szCs w:val="32"/>
          <w:rtl/>
          <w:lang w:val="en-US" w:bidi="he-IL"/>
        </w:rPr>
        <w:t>פגיעות משניות</w:t>
      </w:r>
    </w:p>
    <w:p>
      <w:pPr>
        <w:bidi w:val="1"/>
        <w:spacing w:before="0" w:after="0" w:line="276" w:lineRule="auto"/>
        <w:jc w:val="right"/>
      </w:pPr>
      <w:r>
        <w:rPr>
          <w:rFonts w:ascii="Arial" w:hAnsi="Arial" w:cs="Arial" w:eastAsia="Arial"/>
          <w:b/>
          <w:i w:val="0"/>
          <w:sz w:val="24"/>
          <w:u w:val="none"/>
          <w:szCs w:val="24"/>
          <w:rtl/>
          <w:lang w:val="en-US" w:bidi="he-IL"/>
        </w:rPr>
        <w:t>פרופ' דני הופיין</w:t>
      </w:r>
    </w:p>
    <w:p>
      <w:pPr>
        <w:bidi w:val="1"/>
        <w:spacing w:before="0" w:after="160" w:line="276" w:lineRule="auto"/>
        <w:jc w:val="right"/>
      </w:pPr>
      <w:r>
        <w:rPr>
          <w:rFonts w:ascii="Arial" w:hAnsi="Arial" w:cs="Arial" w:eastAsia="Arial"/>
          <w:b w:val="0"/>
          <w:i w:val="0"/>
          <w:sz w:val="24"/>
          <w:u w:val="none"/>
          <w:szCs w:val="24"/>
          <w:rtl/>
          <w:lang w:val="en-US" w:bidi="he-IL"/>
        </w:rPr>
        <w:t>המכללה האקדמית תל אביב יפו</w:t>
      </w:r>
    </w:p>
    <w:p>
      <w:pPr>
        <w:bidi w:val="1"/>
        <w:spacing w:before="280" w:after="120" w:line="276" w:lineRule="auto"/>
        <w:jc w:val="right"/>
      </w:pPr>
      <w:r>
        <w:rPr>
          <w:rFonts w:ascii="Arial" w:hAnsi="Arial" w:cs="Arial" w:eastAsia="Arial"/>
          <w:b/>
          <w:i w:val="0"/>
          <w:color w:val="1F3A5F"/>
          <w:sz w:val="28"/>
          <w:u w:val="none"/>
          <w:szCs w:val="28"/>
          <w:rtl/>
          <w:lang w:val="en-US" w:bidi="he-IL"/>
        </w:rPr>
        <w:t>הודעת זכויות יוצרים</w:t>
      </w:r>
    </w:p>
    <w:p>
      <w:pPr>
        <w:bidi w:val="1"/>
        <w:spacing w:before="0" w:after="60" w:line="276" w:lineRule="auto"/>
        <w:jc w:val="right"/>
      </w:pPr>
      <w:r>
        <w:rPr>
          <w:rFonts w:ascii="Arial" w:hAnsi="Arial" w:cs="Arial" w:eastAsia="Arial"/>
          <w:b w:val="0"/>
          <w:i w:val="0"/>
          <w:sz w:val="24"/>
          <w:u w:val="none"/>
          <w:szCs w:val="24"/>
          <w:rtl/>
          <w:lang w:val="en-US" w:bidi="he-IL"/>
        </w:rPr>
        <w:t>•  מצגת זו מורכבת מציורים, תמונות וטקסטים עליהם יש לגורמים שונים בעולם זכויות יוצרים.</w:t>
      </w:r>
    </w:p>
    <w:p>
      <w:pPr>
        <w:bidi w:val="1"/>
        <w:spacing w:before="0" w:after="60" w:line="276" w:lineRule="auto"/>
        <w:jc w:val="right"/>
      </w:pPr>
      <w:r>
        <w:rPr>
          <w:rFonts w:ascii="Arial" w:hAnsi="Arial" w:cs="Arial" w:eastAsia="Arial"/>
          <w:b w:val="0"/>
          <w:i w:val="0"/>
          <w:sz w:val="24"/>
          <w:u w:val="none"/>
          <w:szCs w:val="24"/>
          <w:rtl/>
          <w:lang w:val="en-US" w:bidi="he-IL"/>
        </w:rPr>
        <w:t>•  חל איסור על העתקת המצגת או חלקים ממנה לצרכים שאינם קשורים לסדנה בו היא מוצגת.</w:t>
      </w:r>
    </w:p>
    <w:p>
      <w:pPr>
        <w:bidi w:val="1"/>
        <w:spacing w:before="0" w:after="60" w:line="276" w:lineRule="auto"/>
        <w:jc w:val="right"/>
      </w:pPr>
      <w:r>
        <w:rPr>
          <w:rFonts w:ascii="Arial" w:hAnsi="Arial" w:cs="Arial" w:eastAsia="Arial"/>
          <w:b w:val="0"/>
          <w:i w:val="0"/>
          <w:sz w:val="24"/>
          <w:u w:val="none"/>
          <w:szCs w:val="24"/>
          <w:rtl/>
          <w:lang w:val="en-US" w:bidi="he-IL"/>
        </w:rPr>
        <w:t>•  השימוש היחיד המותר במצגת זו או בחלקיה הוא כעזר ללמידה בסדנה זו.</w:t>
      </w:r>
    </w:p>
    <w:p>
      <w:pPr>
        <w:bidi w:val="1"/>
        <w:spacing w:before="280" w:after="120" w:line="276" w:lineRule="auto"/>
        <w:jc w:val="right"/>
      </w:pPr>
      <w:r>
        <w:rPr>
          <w:rFonts w:ascii="Arial" w:hAnsi="Arial" w:cs="Arial" w:eastAsia="Arial"/>
          <w:b/>
          <w:i w:val="0"/>
          <w:color w:val="1F3A5F"/>
          <w:sz w:val="28"/>
          <w:u w:val="none"/>
          <w:szCs w:val="28"/>
          <w:rtl/>
          <w:lang w:val="en-US" w:bidi="he-IL"/>
        </w:rPr>
        <w:t>פגיעה משנית</w:t>
      </w:r>
    </w:p>
    <w:p>
      <w:pPr>
        <w:bidi w:val="1"/>
        <w:spacing w:before="0" w:after="60" w:line="276" w:lineRule="auto"/>
        <w:jc w:val="right"/>
      </w:pPr>
      <w:r>
        <w:rPr>
          <w:rFonts w:ascii="Arial" w:hAnsi="Arial" w:cs="Arial" w:eastAsia="Arial"/>
          <w:b w:val="0"/>
          <w:i w:val="0"/>
          <w:sz w:val="24"/>
          <w:u w:val="none"/>
          <w:szCs w:val="24"/>
          <w:rtl/>
          <w:lang w:val="en-US" w:bidi="he-IL"/>
        </w:rPr>
        <w:t>•  הפגיעות המשניות נוצרות הן בתוך המוח והן כתוצאה משינויים חוץ מוחיים כחימצון נמוך ול"ד נמוך. יש ארבעה תהליכים עקריים של פגיעה משנית:</w:t>
      </w:r>
    </w:p>
    <w:p>
      <w:pPr>
        <w:bidi w:val="1"/>
        <w:spacing w:before="0" w:after="60" w:line="276" w:lineRule="auto"/>
        <w:jc w:val="right"/>
      </w:pPr>
      <w:r>
        <w:rPr>
          <w:rFonts w:ascii="Arial" w:hAnsi="Arial" w:cs="Arial" w:eastAsia="Arial"/>
          <w:b w:val="0"/>
          <w:i w:val="0"/>
          <w:sz w:val="24"/>
          <w:u w:val="none"/>
          <w:szCs w:val="24"/>
          <w:rtl/>
          <w:lang w:val="en-US" w:bidi="he-IL"/>
        </w:rPr>
        <w:t>•  איסכמיה (הפרעה באספקת דם), רעלנות עצמונית, מפל אנרגיה ותמותת תאים כתוצאה מאלו.</w:t>
      </w:r>
    </w:p>
    <w:p>
      <w:pPr>
        <w:bidi w:val="1"/>
        <w:spacing w:before="0" w:after="60" w:line="276" w:lineRule="auto"/>
        <w:jc w:val="right"/>
      </w:pPr>
      <w:r>
        <w:rPr>
          <w:rFonts w:ascii="Arial" w:hAnsi="Arial" w:cs="Arial" w:eastAsia="Arial"/>
          <w:b w:val="0"/>
          <w:i w:val="0"/>
          <w:sz w:val="24"/>
          <w:u w:val="none"/>
          <w:szCs w:val="24"/>
          <w:rtl/>
          <w:lang w:val="en-US" w:bidi="he-IL"/>
        </w:rPr>
        <w:t>•  פגיעה באקסונים.</w:t>
      </w:r>
    </w:p>
    <w:p>
      <w:pPr>
        <w:bidi w:val="1"/>
        <w:spacing w:before="0" w:after="60" w:line="276" w:lineRule="auto"/>
        <w:jc w:val="right"/>
      </w:pPr>
      <w:r>
        <w:rPr>
          <w:rFonts w:ascii="Arial" w:hAnsi="Arial" w:cs="Arial" w:eastAsia="Arial"/>
          <w:b w:val="0"/>
          <w:i w:val="0"/>
          <w:sz w:val="24"/>
          <w:u w:val="none"/>
          <w:szCs w:val="24"/>
          <w:rtl/>
          <w:lang w:val="en-US" w:bidi="he-IL"/>
        </w:rPr>
        <w:t>•  נפיחות (בצקתיות) מוחית משנית.</w:t>
      </w:r>
    </w:p>
    <w:p>
      <w:pPr>
        <w:bidi w:val="1"/>
        <w:spacing w:before="0" w:after="60" w:line="276" w:lineRule="auto"/>
        <w:jc w:val="right"/>
      </w:pPr>
      <w:r>
        <w:rPr>
          <w:rFonts w:ascii="Arial" w:hAnsi="Arial" w:cs="Arial" w:eastAsia="Arial"/>
          <w:b w:val="0"/>
          <w:i w:val="0"/>
          <w:sz w:val="24"/>
          <w:u w:val="none"/>
          <w:szCs w:val="24"/>
          <w:rtl/>
          <w:lang w:val="en-US" w:bidi="he-IL"/>
        </w:rPr>
        <w:t>•  דלקות וגדילה מחדש.</w:t>
      </w:r>
    </w:p>
    <w:p>
      <w:pPr>
        <w:bidi w:val="1"/>
        <w:spacing w:before="0" w:after="60" w:line="276" w:lineRule="auto"/>
        <w:jc w:val="right"/>
      </w:pPr>
      <w:r>
        <w:rPr>
          <w:rFonts w:ascii="Arial" w:hAnsi="Arial" w:cs="Arial" w:eastAsia="Arial"/>
          <w:b w:val="0"/>
          <w:i w:val="0"/>
          <w:sz w:val="24"/>
          <w:u w:val="none"/>
          <w:szCs w:val="24"/>
          <w:rtl/>
          <w:lang w:val="en-US" w:bidi="he-IL"/>
        </w:rPr>
        <w:t>•  כנגד כל אחד מהם מתקיימת תגובת נגד חיסונית ורגנרציה שהשפעתם על חומרת הנזק עדיין אינה ידועה.</w:t>
      </w:r>
    </w:p>
    <w:p>
      <w:pPr>
        <w:bidi w:val="1"/>
        <w:spacing w:before="280" w:after="120" w:line="276" w:lineRule="auto"/>
        <w:jc w:val="right"/>
      </w:pPr>
      <w:r>
        <w:rPr>
          <w:rFonts w:ascii="Arial" w:hAnsi="Arial" w:cs="Arial" w:eastAsia="Arial"/>
          <w:b/>
          <w:i w:val="0"/>
          <w:color w:val="1F3A5F"/>
          <w:sz w:val="28"/>
          <w:u w:val="none"/>
          <w:szCs w:val="28"/>
          <w:rtl/>
          <w:lang w:val="en-US" w:bidi="he-IL"/>
        </w:rPr>
        <w:t>איסכמיה פוסט טראומטית:</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מיד לאחר הפגיעה יש ירידה ב </w:t>
      </w:r>
      <w:r>
        <w:rPr>
          <w:rFonts w:ascii="Arial" w:hAnsi="Arial" w:cs="Arial" w:eastAsia="Arial"/>
          <w:b w:val="0"/>
          <w:i w:val="0"/>
          <w:sz w:val="24"/>
          <w:u w:val="none"/>
          <w:szCs w:val="24"/>
          <w:lang w:val="en-US" w:bidi="he-IL"/>
        </w:rPr>
        <w:t>CBF</w:t>
      </w:r>
      <w:r>
        <w:rPr>
          <w:rFonts w:ascii="Arial" w:hAnsi="Arial" w:cs="Arial" w:eastAsia="Arial"/>
          <w:b w:val="0"/>
          <w:i w:val="0"/>
          <w:sz w:val="24"/>
          <w:u w:val="none"/>
          <w:szCs w:val="24"/>
          <w:rtl/>
          <w:lang w:val="en-US" w:bidi="he-IL"/>
        </w:rPr>
        <w:t>. היא נצפית מוקדם למדי וחומרתה מצויה במיתאם עם ההחלמה.</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הפרעות נילוות ברמת החימצון בדם ובל"ד מחמירות את האפקט משום שה </w:t>
      </w:r>
      <w:r>
        <w:rPr>
          <w:rFonts w:ascii="Arial" w:hAnsi="Arial" w:cs="Arial" w:eastAsia="Arial"/>
          <w:b w:val="0"/>
          <w:i w:val="0"/>
          <w:sz w:val="24"/>
          <w:u w:val="none"/>
          <w:szCs w:val="24"/>
          <w:lang w:val="en-US" w:bidi="he-IL"/>
        </w:rPr>
        <w:t>CNS</w:t>
      </w:r>
      <w:r>
        <w:rPr>
          <w:rFonts w:ascii="Arial" w:hAnsi="Arial" w:cs="Arial" w:eastAsia="Arial"/>
          <w:b w:val="0"/>
          <w:i w:val="0"/>
          <w:sz w:val="24"/>
          <w:u w:val="none"/>
          <w:szCs w:val="24"/>
          <w:rtl/>
          <w:lang w:val="en-US" w:bidi="he-IL"/>
        </w:rPr>
        <w:t xml:space="preserve"> אינו מסוגל להפעיל מהלכים הגנתיים אוטואימוניים כנגד אלו.</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נמצא למשל שארוע בודד של חוסר חימצון במהלך האישפוז הראשוני העלה את הסבירות לתוצאה שלילית מה </w:t>
      </w:r>
      <w:r>
        <w:rPr>
          <w:rFonts w:ascii="Arial" w:hAnsi="Arial" w:cs="Arial" w:eastAsia="Arial"/>
          <w:b w:val="0"/>
          <w:i w:val="0"/>
          <w:sz w:val="24"/>
          <w:u w:val="none"/>
          <w:szCs w:val="24"/>
          <w:lang w:val="en-US" w:bidi="he-IL"/>
        </w:rPr>
        <w:t>55%</w:t>
      </w:r>
      <w:r>
        <w:rPr>
          <w:rFonts w:ascii="Arial" w:hAnsi="Arial" w:cs="Arial" w:eastAsia="Arial"/>
          <w:b w:val="0"/>
          <w:i w:val="0"/>
          <w:sz w:val="24"/>
          <w:u w:val="none"/>
          <w:szCs w:val="24"/>
          <w:rtl/>
          <w:lang w:val="en-US" w:bidi="he-IL"/>
        </w:rPr>
        <w:t xml:space="preserve"> ל </w:t>
      </w:r>
      <w:r>
        <w:rPr>
          <w:rFonts w:ascii="Arial" w:hAnsi="Arial" w:cs="Arial" w:eastAsia="Arial"/>
          <w:b w:val="0"/>
          <w:i w:val="0"/>
          <w:sz w:val="24"/>
          <w:u w:val="none"/>
          <w:szCs w:val="24"/>
          <w:lang w:val="en-US" w:bidi="he-IL"/>
        </w:rPr>
        <w:t>74%</w:t>
      </w:r>
      <w:r>
        <w:rPr>
          <w:rFonts w:ascii="Arial" w:hAnsi="Arial" w:cs="Arial" w:eastAsia="Arial"/>
          <w:b w:val="0"/>
          <w:i w:val="0"/>
          <w:sz w:val="24"/>
          <w:u w:val="none"/>
          <w:szCs w:val="24"/>
          <w:rtl/>
          <w:lang w:val="en-US" w:bidi="he-IL"/>
        </w:rPr>
        <w:t>.</w:t>
      </w:r>
    </w:p>
    <w:p>
      <w:pPr>
        <w:bidi w:val="0"/>
        <w:spacing w:before="80" w:after="40" w:line="276" w:lineRule="auto"/>
        <w:jc w:val="center"/>
      </w:pPr>
      <w:r>
        <w:drawing>
          <wp:inline xmlns:a="http://schemas.openxmlformats.org/drawingml/2006/main" xmlns:pic="http://schemas.openxmlformats.org/drawingml/2006/picture">
            <wp:extent cx="5616000" cy="3495135"/>
            <wp:docPr id="1" name="Picture 1"/>
            <wp:cNvGraphicFramePr>
              <a:graphicFrameLocks noChangeAspect="1"/>
            </wp:cNvGraphicFramePr>
            <a:graphic>
              <a:graphicData uri="http://schemas.openxmlformats.org/drawingml/2006/picture">
                <pic:pic>
                  <pic:nvPicPr>
                    <pic:cNvPr id="0" name="csvd.png"/>
                    <pic:cNvPicPr/>
                  </pic:nvPicPr>
                  <pic:blipFill>
                    <a:blip r:embed="rId9"/>
                    <a:stretch>
                      <a:fillRect/>
                    </a:stretch>
                  </pic:blipFill>
                  <pic:spPr>
                    <a:xfrm>
                      <a:off x="0" y="0"/>
                      <a:ext cx="5616000" cy="3495135"/>
                    </a:xfrm>
                    <a:prstGeom prst="rect"/>
                  </pic:spPr>
                </pic:pic>
              </a:graphicData>
            </a:graphic>
          </wp:inline>
        </w:drawing>
      </w:r>
    </w:p>
    <w:p>
      <w:pPr>
        <w:bidi w:val="0"/>
        <w:spacing w:before="0" w:after="40" w:line="276" w:lineRule="auto"/>
        <w:jc w:val="right"/>
      </w:pPr>
      <w:r>
        <w:rPr>
          <w:rFonts w:ascii="Arial" w:hAnsi="Arial" w:cs="Arial" w:eastAsia="Arial"/>
          <w:b w:val="0"/>
          <w:i w:val="0"/>
          <w:sz w:val="24"/>
          <w:u w:val="none"/>
          <w:szCs w:val="24"/>
          <w:lang w:val="en-US" w:bidi="he-IL"/>
        </w:rPr>
        <w:t>Schematic representation of key points in the understanding of cSVD mechanisms over the past 30 years. MRI, magnetic resonance imaging; cSVD, cerebral small-vessel diseases; WMH, white mater hyperintensity; dPVS, dilatated perivascular spaces.</w:t>
      </w:r>
    </w:p>
    <w:p>
      <w:pPr>
        <w:bidi w:val="0"/>
        <w:spacing w:before="0" w:after="160" w:line="276" w:lineRule="auto"/>
        <w:jc w:val="right"/>
      </w:pPr>
      <w:r>
        <w:rPr>
          <w:rFonts w:ascii="Arial" w:hAnsi="Arial" w:cs="Arial" w:eastAsia="Arial"/>
          <w:b w:val="0"/>
          <w:i w:val="0"/>
          <w:sz w:val="24"/>
          <w:u w:val="none"/>
          <w:szCs w:val="24"/>
          <w:lang w:val="en-US" w:bidi="he-IL"/>
        </w:rPr>
        <w:t>Lina Grosset, Eric Jouvent. Cerebrovasc Dis 2022;51:131–137</w:t>
      </w:r>
    </w:p>
    <w:p>
      <w:pPr>
        <w:bidi w:val="0"/>
        <w:spacing w:before="280" w:after="120" w:line="276" w:lineRule="auto"/>
        <w:jc w:val="right"/>
      </w:pPr>
      <w:r>
        <w:rPr>
          <w:rFonts w:ascii="Arial" w:hAnsi="Arial" w:cs="Arial" w:eastAsia="Arial"/>
          <w:b/>
          <w:i w:val="0"/>
          <w:color w:val="1F3A5F"/>
          <w:sz w:val="28"/>
          <w:u w:val="none"/>
          <w:szCs w:val="28"/>
          <w:lang w:val="en-US" w:bidi="he-IL"/>
        </w:rPr>
        <w:t>Excitotoxicity</w:t>
      </w:r>
    </w:p>
    <w:p>
      <w:pPr>
        <w:bidi w:val="0"/>
        <w:spacing w:before="80" w:after="40" w:line="276" w:lineRule="auto"/>
        <w:jc w:val="center"/>
      </w:pPr>
      <w:r>
        <w:drawing>
          <wp:inline xmlns:a="http://schemas.openxmlformats.org/drawingml/2006/main" xmlns:pic="http://schemas.openxmlformats.org/drawingml/2006/picture">
            <wp:extent cx="1152000" cy="1169280"/>
            <wp:docPr id="2" name="Picture 2"/>
            <wp:cNvGraphicFramePr>
              <a:graphicFrameLocks noChangeAspect="1"/>
            </wp:cNvGraphicFramePr>
            <a:graphic>
              <a:graphicData uri="http://schemas.openxmlformats.org/drawingml/2006/picture">
                <pic:pic>
                  <pic:nvPicPr>
                    <pic:cNvPr id="0" name="neuron.png"/>
                    <pic:cNvPicPr/>
                  </pic:nvPicPr>
                  <pic:blipFill>
                    <a:blip r:embed="rId10"/>
                    <a:stretch>
                      <a:fillRect/>
                    </a:stretch>
                  </pic:blipFill>
                  <pic:spPr>
                    <a:xfrm>
                      <a:off x="0" y="0"/>
                      <a:ext cx="1152000" cy="1169280"/>
                    </a:xfrm>
                    <a:prstGeom prst="rect"/>
                  </pic:spPr>
                </pic:pic>
              </a:graphicData>
            </a:graphic>
          </wp:inline>
        </w:drawing>
      </w:r>
    </w:p>
    <w:p>
      <w:pPr>
        <w:bidi w:val="1"/>
        <w:spacing w:before="0" w:after="60" w:line="276" w:lineRule="auto"/>
        <w:jc w:val="right"/>
      </w:pPr>
      <w:r>
        <w:rPr>
          <w:rFonts w:ascii="Arial" w:hAnsi="Arial" w:cs="Arial" w:eastAsia="Arial"/>
          <w:b w:val="0"/>
          <w:i w:val="0"/>
          <w:sz w:val="24"/>
          <w:u w:val="none"/>
          <w:szCs w:val="24"/>
          <w:rtl/>
          <w:lang w:val="en-US" w:bidi="he-IL"/>
        </w:rPr>
        <w:t>•  הליך בו גולטמאט וחומצות אמינו מעוררות אחרות גורמות לנזק נוירונאלי.</w:t>
      </w:r>
    </w:p>
    <w:p>
      <w:pPr>
        <w:bidi w:val="1"/>
        <w:spacing w:before="0" w:after="60" w:line="276" w:lineRule="auto"/>
        <w:jc w:val="right"/>
      </w:pPr>
      <w:r>
        <w:rPr>
          <w:rFonts w:ascii="Arial" w:hAnsi="Arial" w:cs="Arial" w:eastAsia="Arial"/>
          <w:b w:val="0"/>
          <w:i w:val="0"/>
          <w:sz w:val="24"/>
          <w:u w:val="none"/>
          <w:szCs w:val="24"/>
          <w:rtl/>
          <w:lang w:val="en-US" w:bidi="he-IL"/>
        </w:rPr>
        <w:t>•  חשיפת יתר לגלוטמאט יוצרת הרס נוירונאלי בשני שלבים: במיידי (במונחים של דקות) נוצרת נפיחות הנגרמת על ידי עודף אשלגן בתאים. בהמשך נוצר ניוון בשל עודף סידן.</w:t>
      </w:r>
    </w:p>
    <w:p>
      <w:pPr>
        <w:bidi w:val="0"/>
        <w:spacing w:before="0" w:after="80" w:line="276" w:lineRule="auto"/>
        <w:jc w:val="right"/>
      </w:pPr>
      <w:r>
        <w:rPr>
          <w:rFonts w:ascii="Arial" w:hAnsi="Arial" w:cs="Arial" w:eastAsia="Arial"/>
          <w:b w:val="0"/>
          <w:i w:val="0"/>
          <w:sz w:val="24"/>
          <w:u w:val="none"/>
          <w:szCs w:val="24"/>
          <w:lang w:val="en-US" w:bidi="he-IL"/>
        </w:rPr>
        <w:t>http://stroke.nih.gov/materials/strokechallenges.htm</w:t>
      </w:r>
    </w:p>
    <w:p>
      <w:pPr>
        <w:bidi w:val="0"/>
        <w:spacing w:before="80" w:after="40" w:line="276" w:lineRule="auto"/>
        <w:jc w:val="center"/>
      </w:pPr>
      <w:r>
        <w:drawing>
          <wp:inline xmlns:a="http://schemas.openxmlformats.org/drawingml/2006/main" xmlns:pic="http://schemas.openxmlformats.org/drawingml/2006/picture">
            <wp:extent cx="4392000" cy="3915914"/>
            <wp:docPr id="3" name="Picture 3"/>
            <wp:cNvGraphicFramePr>
              <a:graphicFrameLocks noChangeAspect="1"/>
            </wp:cNvGraphicFramePr>
            <a:graphic>
              <a:graphicData uri="http://schemas.openxmlformats.org/drawingml/2006/picture">
                <pic:pic>
                  <pic:nvPicPr>
                    <pic:cNvPr id="0" name="cascade.png"/>
                    <pic:cNvPicPr/>
                  </pic:nvPicPr>
                  <pic:blipFill>
                    <a:blip r:embed="rId11"/>
                    <a:stretch>
                      <a:fillRect/>
                    </a:stretch>
                  </pic:blipFill>
                  <pic:spPr>
                    <a:xfrm>
                      <a:off x="0" y="0"/>
                      <a:ext cx="4392000" cy="3915914"/>
                    </a:xfrm>
                    <a:prstGeom prst="rect"/>
                  </pic:spPr>
                </pic:pic>
              </a:graphicData>
            </a:graphic>
          </wp:inline>
        </w:drawing>
      </w:r>
    </w:p>
    <w:p>
      <w:pPr>
        <w:bidi w:val="0"/>
        <w:spacing w:before="280" w:after="120" w:line="276" w:lineRule="auto"/>
        <w:jc w:val="right"/>
      </w:pPr>
      <w:r>
        <w:rPr>
          <w:rFonts w:ascii="Arial" w:hAnsi="Arial" w:cs="Arial" w:eastAsia="Arial"/>
          <w:b/>
          <w:i w:val="0"/>
          <w:color w:val="1F3A5F"/>
          <w:sz w:val="28"/>
          <w:u w:val="none"/>
          <w:szCs w:val="28"/>
          <w:lang w:val="en-US" w:bidi="he-IL"/>
        </w:rPr>
        <w:t>Neuroprotection</w:t>
      </w:r>
    </w:p>
    <w:p>
      <w:pPr>
        <w:bidi w:val="1"/>
        <w:spacing w:before="0" w:after="80" w:line="276" w:lineRule="auto"/>
        <w:jc w:val="right"/>
      </w:pPr>
      <w:r>
        <w:rPr>
          <w:rFonts w:ascii="Arial" w:hAnsi="Arial" w:cs="Arial" w:eastAsia="Arial"/>
          <w:b w:val="0"/>
          <w:i w:val="0"/>
          <w:sz w:val="24"/>
          <w:u w:val="none"/>
          <w:szCs w:val="24"/>
          <w:rtl/>
          <w:lang w:val="en-US" w:bidi="he-IL"/>
        </w:rPr>
        <w:t xml:space="preserve">על אף מחקר רב, גישות טיפוליות ב </w:t>
      </w:r>
      <w:r>
        <w:rPr>
          <w:rFonts w:ascii="Arial" w:hAnsi="Arial" w:cs="Arial" w:eastAsia="Arial"/>
          <w:b w:val="0"/>
          <w:i w:val="0"/>
          <w:sz w:val="24"/>
          <w:u w:val="none"/>
          <w:szCs w:val="24"/>
          <w:lang w:val="en-US" w:bidi="he-IL"/>
        </w:rPr>
        <w:t>ET</w:t>
      </w:r>
      <w:r>
        <w:rPr>
          <w:rFonts w:ascii="Arial" w:hAnsi="Arial" w:cs="Arial" w:eastAsia="Arial"/>
          <w:b w:val="0"/>
          <w:i w:val="0"/>
          <w:sz w:val="24"/>
          <w:u w:val="none"/>
          <w:szCs w:val="24"/>
          <w:rtl/>
          <w:lang w:val="en-US" w:bidi="he-IL"/>
        </w:rPr>
        <w:t xml:space="preserve"> נכשלו עד כה. יתכן שזה מחמת אי הבחנה בין סוגים שונים של </w:t>
      </w:r>
      <w:r>
        <w:rPr>
          <w:rFonts w:ascii="Arial" w:hAnsi="Arial" w:cs="Arial" w:eastAsia="Arial"/>
          <w:b w:val="0"/>
          <w:i w:val="0"/>
          <w:sz w:val="24"/>
          <w:u w:val="none"/>
          <w:szCs w:val="24"/>
          <w:lang w:val="en-US" w:bidi="he-IL"/>
        </w:rPr>
        <w:t>ET</w:t>
      </w:r>
      <w:r>
        <w:rPr>
          <w:rFonts w:ascii="Arial" w:hAnsi="Arial" w:cs="Arial" w:eastAsia="Arial"/>
          <w:b w:val="0"/>
          <w:i w:val="0"/>
          <w:sz w:val="24"/>
          <w:u w:val="none"/>
          <w:szCs w:val="24"/>
          <w:rtl/>
          <w:lang w:val="en-US" w:bidi="he-IL"/>
        </w:rPr>
        <w:t xml:space="preserve"> בפציינטים שונים, אחור במתן הטיפול והפרעה שהטיפול יוצר בתהליכי החלמה טבעיים.</w:t>
      </w:r>
    </w:p>
    <w:p>
      <w:pPr>
        <w:bidi w:val="0"/>
        <w:spacing w:before="80" w:after="40" w:line="276" w:lineRule="auto"/>
        <w:jc w:val="center"/>
      </w:pPr>
      <w:r>
        <w:drawing>
          <wp:inline xmlns:a="http://schemas.openxmlformats.org/drawingml/2006/main" xmlns:pic="http://schemas.openxmlformats.org/drawingml/2006/picture">
            <wp:extent cx="1512000" cy="3436365"/>
            <wp:docPr id="4" name="Picture 4"/>
            <wp:cNvGraphicFramePr>
              <a:graphicFrameLocks noChangeAspect="1"/>
            </wp:cNvGraphicFramePr>
            <a:graphic>
              <a:graphicData uri="http://schemas.openxmlformats.org/drawingml/2006/picture">
                <pic:pic>
                  <pic:nvPicPr>
                    <pic:cNvPr id="0" name="book.png"/>
                    <pic:cNvPicPr/>
                  </pic:nvPicPr>
                  <pic:blipFill>
                    <a:blip r:embed="rId12"/>
                    <a:stretch>
                      <a:fillRect/>
                    </a:stretch>
                  </pic:blipFill>
                  <pic:spPr>
                    <a:xfrm>
                      <a:off x="0" y="0"/>
                      <a:ext cx="1512000" cy="3436365"/>
                    </a:xfrm>
                    <a:prstGeom prst="rect"/>
                  </pic:spPr>
                </pic:pic>
              </a:graphicData>
            </a:graphic>
          </wp:inline>
        </w:drawing>
      </w:r>
    </w:p>
    <w:p>
      <w:pPr>
        <w:bidi w:val="1"/>
        <w:spacing w:before="0" w:after="60" w:line="276" w:lineRule="auto"/>
        <w:jc w:val="right"/>
      </w:pPr>
      <w:r>
        <w:rPr>
          <w:rFonts w:ascii="Arial" w:hAnsi="Arial" w:cs="Arial" w:eastAsia="Arial"/>
          <w:b w:val="0"/>
          <w:i w:val="0"/>
          <w:sz w:val="24"/>
          <w:u w:val="none"/>
          <w:szCs w:val="24"/>
          <w:rtl/>
          <w:lang w:val="en-US" w:bidi="he-IL"/>
        </w:rPr>
        <w:t>•  נכון להיום, אין תרופה אחת ספציפית המאושרת כמעצור מוחלט לאקזיטוטוקסיסיטי. הבעיה העיקרית היא שגלוטמט הוא חיוני לתפקוד המוח הרגיל. חסימה חזקה מדי שלו עלולה למנוע מהמוח "ללמוד" או להשתקם.</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הטיפולים המקובלים בבתי החולים </w:t>
      </w:r>
      <w:r>
        <w:rPr>
          <w:rFonts w:ascii="Arial" w:hAnsi="Arial" w:cs="Arial" w:eastAsia="Arial"/>
          <w:b w:val="0"/>
          <w:i w:val="0"/>
          <w:sz w:val="24"/>
          <w:u w:val="none"/>
          <w:szCs w:val="24"/>
          <w:lang w:val="en-US" w:bidi="he-IL"/>
        </w:rPr>
        <w:t>(Standard of Care)</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ניטור לחץ תוך-גולגולתי </w:t>
      </w:r>
      <w:r>
        <w:rPr>
          <w:rFonts w:ascii="Arial" w:hAnsi="Arial" w:cs="Arial" w:eastAsia="Arial"/>
          <w:b w:val="0"/>
          <w:i w:val="0"/>
          <w:sz w:val="24"/>
          <w:u w:val="none"/>
          <w:szCs w:val="24"/>
          <w:lang w:val="en-US" w:bidi="he-IL"/>
        </w:rPr>
        <w:t>(ICP)</w:t>
      </w:r>
    </w:p>
    <w:p>
      <w:pPr>
        <w:bidi w:val="1"/>
        <w:spacing w:before="0" w:after="60" w:line="276" w:lineRule="auto"/>
        <w:jc w:val="right"/>
      </w:pPr>
      <w:r>
        <w:rPr>
          <w:rFonts w:ascii="Arial" w:hAnsi="Arial" w:cs="Arial" w:eastAsia="Arial"/>
          <w:b w:val="0"/>
          <w:i w:val="0"/>
          <w:sz w:val="24"/>
          <w:u w:val="none"/>
          <w:szCs w:val="24"/>
          <w:rtl/>
          <w:lang w:val="en-US" w:bidi="he-IL"/>
        </w:rPr>
        <w:t>•  שמירה על חמצון ולחץ דם</w:t>
      </w:r>
    </w:p>
    <w:p>
      <w:pPr>
        <w:bidi w:val="1"/>
        <w:spacing w:before="0" w:after="60" w:line="276" w:lineRule="auto"/>
        <w:jc w:val="right"/>
      </w:pPr>
      <w:r>
        <w:rPr>
          <w:rFonts w:ascii="Arial" w:hAnsi="Arial" w:cs="Arial" w:eastAsia="Arial"/>
          <w:b w:val="0"/>
          <w:i w:val="0"/>
          <w:sz w:val="24"/>
          <w:u w:val="none"/>
          <w:szCs w:val="24"/>
          <w:rtl/>
          <w:lang w:val="en-US" w:bidi="he-IL"/>
        </w:rPr>
        <w:t>•  מניעת פרכוסים</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תרופות וחומרים שנחקרים </w:t>
      </w:r>
      <w:r>
        <w:rPr>
          <w:rFonts w:ascii="Arial" w:hAnsi="Arial" w:cs="Arial" w:eastAsia="Arial"/>
          <w:b w:val="0"/>
          <w:i w:val="0"/>
          <w:sz w:val="24"/>
          <w:u w:val="none"/>
          <w:szCs w:val="24"/>
          <w:lang w:val="en-US" w:bidi="he-IL"/>
        </w:rPr>
        <w:t>(Clinical Trials)</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מגנזיום </w:t>
      </w:r>
      <w:r>
        <w:rPr>
          <w:rFonts w:ascii="Arial" w:hAnsi="Arial" w:cs="Arial" w:eastAsia="Arial"/>
          <w:b w:val="0"/>
          <w:i w:val="0"/>
          <w:sz w:val="24"/>
          <w:u w:val="none"/>
          <w:szCs w:val="24"/>
          <w:lang w:val="en-US" w:bidi="he-IL"/>
        </w:rPr>
        <w:t>(Magnesium):</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אמנטדין </w:t>
      </w:r>
      <w:r>
        <w:rPr>
          <w:rFonts w:ascii="Arial" w:hAnsi="Arial" w:cs="Arial" w:eastAsia="Arial"/>
          <w:b w:val="0"/>
          <w:i w:val="0"/>
          <w:sz w:val="24"/>
          <w:u w:val="none"/>
          <w:szCs w:val="24"/>
          <w:lang w:val="en-US" w:bidi="he-IL"/>
        </w:rPr>
        <w:t>(Amantadine):</w:t>
      </w:r>
    </w:p>
    <w:p>
      <w:pPr>
        <w:bidi w:val="1"/>
        <w:spacing w:before="0" w:after="60" w:line="276" w:lineRule="auto"/>
        <w:jc w:val="right"/>
      </w:pPr>
      <w:r>
        <w:rPr>
          <w:rFonts w:ascii="Arial" w:hAnsi="Arial" w:cs="Arial" w:eastAsia="Arial"/>
          <w:b w:val="0"/>
          <w:i w:val="0"/>
          <w:sz w:val="24"/>
          <w:u w:val="none"/>
          <w:szCs w:val="24"/>
          <w:rtl/>
          <w:lang w:val="en-US" w:bidi="he-IL"/>
        </w:rPr>
        <w:t>•  פרוגסטרון</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היפותרמיה טיפולית </w:t>
      </w:r>
      <w:r>
        <w:rPr>
          <w:rFonts w:ascii="Arial" w:hAnsi="Arial" w:cs="Arial" w:eastAsia="Arial"/>
          <w:b w:val="0"/>
          <w:i w:val="0"/>
          <w:sz w:val="24"/>
          <w:u w:val="none"/>
          <w:szCs w:val="24"/>
          <w:lang w:val="en-US" w:bidi="he-IL"/>
        </w:rPr>
        <w:t>(Therapeutic Hypothermia).</w:t>
      </w:r>
    </w:p>
    <w:p>
      <w:pPr>
        <w:bidi w:val="1"/>
        <w:spacing w:before="280" w:after="120" w:line="276" w:lineRule="auto"/>
        <w:jc w:val="right"/>
      </w:pPr>
      <w:r>
        <w:rPr>
          <w:rFonts w:ascii="Arial" w:hAnsi="Arial" w:cs="Arial" w:eastAsia="Arial"/>
          <w:b/>
          <w:i w:val="0"/>
          <w:color w:val="1F3A5F"/>
          <w:sz w:val="28"/>
          <w:u w:val="none"/>
          <w:szCs w:val="28"/>
          <w:rtl/>
          <w:lang w:val="en-US" w:bidi="he-IL"/>
        </w:rPr>
        <w:t>הגנה עצבית אנדוגננית</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קיימים לפחות שני תהליכים של הגנה עצבית אנדוגננית כנגד תופעות ההרס המשני האיסכמי וה-</w:t>
      </w:r>
      <w:r>
        <w:rPr>
          <w:rFonts w:ascii="Arial" w:hAnsi="Arial" w:cs="Arial" w:eastAsia="Arial"/>
          <w:b w:val="0"/>
          <w:i w:val="0"/>
          <w:sz w:val="24"/>
          <w:u w:val="none"/>
          <w:szCs w:val="24"/>
          <w:lang w:val="en-US" w:bidi="he-IL"/>
        </w:rPr>
        <w:t>E.T: Adenosine</w:t>
      </w:r>
      <w:r>
        <w:rPr>
          <w:rFonts w:ascii="Arial" w:hAnsi="Arial" w:cs="Arial" w:eastAsia="Arial"/>
          <w:b w:val="0"/>
          <w:i w:val="0"/>
          <w:sz w:val="24"/>
          <w:u w:val="none"/>
          <w:szCs w:val="24"/>
          <w:rtl/>
          <w:lang w:val="en-US" w:bidi="he-IL"/>
        </w:rPr>
        <w:t xml:space="preserve"> והלם חום מחלבון 70 </w:t>
      </w:r>
      <w:r>
        <w:rPr>
          <w:rFonts w:ascii="Arial" w:hAnsi="Arial" w:cs="Arial" w:eastAsia="Arial"/>
          <w:b w:val="0"/>
          <w:i w:val="0"/>
          <w:sz w:val="24"/>
          <w:u w:val="none"/>
          <w:szCs w:val="24"/>
          <w:lang w:val="en-US" w:bidi="he-IL"/>
        </w:rPr>
        <w:t>(HSP70).</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אדנוזין הוא מגן עצבי המופרש כנגד איסכמיה ורעלנות עצמונית. הוא מרסן מספר תת תהליכים בארועים אלו על ידי הפחתת הצריכה המטבולית התאית והגברת ה-</w:t>
      </w:r>
      <w:r>
        <w:rPr>
          <w:rFonts w:ascii="Arial" w:hAnsi="Arial" w:cs="Arial" w:eastAsia="Arial"/>
          <w:b w:val="0"/>
          <w:i w:val="0"/>
          <w:sz w:val="24"/>
          <w:u w:val="none"/>
          <w:szCs w:val="24"/>
          <w:lang w:val="en-US" w:bidi="he-IL"/>
        </w:rPr>
        <w:t>CBF.</w:t>
      </w:r>
    </w:p>
    <w:p>
      <w:pPr>
        <w:bidi w:val="1"/>
        <w:spacing w:before="0" w:after="12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lang w:val="en-US" w:bidi="he-IL"/>
        </w:rPr>
        <w:t>HSP70</w:t>
      </w:r>
      <w:r>
        <w:rPr>
          <w:rFonts w:ascii="Arial" w:hAnsi="Arial" w:cs="Arial" w:eastAsia="Arial"/>
          <w:b w:val="0"/>
          <w:i w:val="0"/>
          <w:sz w:val="24"/>
          <w:u w:val="none"/>
          <w:szCs w:val="24"/>
          <w:rtl/>
          <w:lang w:val="en-US" w:bidi="he-IL"/>
        </w:rPr>
        <w:t xml:space="preserve"> יוצר אופטימיזציה של פירוק חלבונים בתאים ומרסן דלקות.</w:t>
      </w:r>
    </w:p>
    <w:tbl>
      <w:tblPr>
        <w:tblW w:type="dxa" w:w="9412"/>
        <w:jc w:val="center"/>
        <w:tblLayout w:type="fixed"/>
        <w:tblLook w:firstColumn="1" w:firstRow="1" w:lastColumn="0" w:lastRow="0" w:noHBand="0" w:noVBand="1" w:val="04A0"/>
        <w:bidiVisual/>
        <w:tblBorders>
          <w:top w:val="single" w:sz="8" w:space="0" w:color="1F3A5F"/>
          <w:left w:val="single" w:sz="8" w:space="0" w:color="1F3A5F"/>
          <w:bottom w:val="single" w:sz="8" w:space="0" w:color="1F3A5F"/>
          <w:right w:val="single" w:sz="8" w:space="0" w:color="1F3A5F"/>
          <w:insideH w:val="single" w:sz="8" w:space="0" w:color="1F3A5F"/>
          <w:insideV w:val="single" w:sz="8" w:space="0" w:color="1F3A5F"/>
        </w:tblBorders>
      </w:tblPr>
      <w:tblGrid>
        <w:gridCol w:w="4082"/>
        <w:gridCol w:w="2381"/>
        <w:gridCol w:w="2948"/>
      </w:tblGrid>
      <w:tr>
        <w:tc>
          <w:tcPr>
            <w:tcW w:type="dxa" w:w="4082"/>
          </w:tcPr>
          <w:p>
            <w:pPr>
              <w:bidi w:val="1"/>
              <w:spacing w:before="60" w:after="60" w:line="276" w:lineRule="auto"/>
              <w:jc w:val="right"/>
            </w:pPr>
            <w:r/>
            <w:r>
              <w:rPr>
                <w:rFonts w:ascii="Arial" w:hAnsi="Arial" w:cs="Arial" w:eastAsia="Arial"/>
                <w:b/>
                <w:i w:val="0"/>
                <w:color w:val="1F3A5F"/>
                <w:sz w:val="24"/>
                <w:u w:val="single"/>
                <w:szCs w:val="24"/>
                <w:rtl/>
                <w:lang w:val="en-US" w:bidi="he-IL"/>
              </w:rPr>
              <w:t>"כלי הנשק" נגד הנזק</w:t>
            </w:r>
          </w:p>
        </w:tc>
        <w:tc>
          <w:tcPr>
            <w:tcW w:type="dxa" w:w="2381"/>
          </w:tcPr>
          <w:p>
            <w:pPr>
              <w:bidi w:val="1"/>
              <w:spacing w:before="60" w:after="60" w:line="276" w:lineRule="auto"/>
              <w:jc w:val="right"/>
            </w:pPr>
            <w:r/>
            <w:r>
              <w:rPr>
                <w:rFonts w:ascii="Arial" w:hAnsi="Arial" w:cs="Arial" w:eastAsia="Arial"/>
                <w:b/>
                <w:i w:val="0"/>
                <w:color w:val="1F3A5F"/>
                <w:sz w:val="24"/>
                <w:u w:val="single"/>
                <w:szCs w:val="24"/>
                <w:rtl/>
                <w:lang w:val="en-US" w:bidi="he-IL"/>
              </w:rPr>
              <w:t>תפקיד עיקרי</w:t>
            </w:r>
          </w:p>
        </w:tc>
        <w:tc>
          <w:tcPr>
            <w:tcW w:type="dxa" w:w="2948"/>
          </w:tcPr>
          <w:p>
            <w:pPr>
              <w:bidi w:val="1"/>
              <w:spacing w:before="60" w:after="60" w:line="276" w:lineRule="auto"/>
              <w:jc w:val="right"/>
            </w:pPr>
            <w:r/>
            <w:r>
              <w:rPr>
                <w:rFonts w:ascii="Arial" w:hAnsi="Arial" w:cs="Arial" w:eastAsia="Arial"/>
                <w:b/>
                <w:i w:val="0"/>
                <w:color w:val="1F3A5F"/>
                <w:sz w:val="24"/>
                <w:u w:val="single"/>
                <w:szCs w:val="24"/>
                <w:rtl/>
                <w:lang w:val="en-US" w:bidi="he-IL"/>
              </w:rPr>
              <w:t>מנגנון</w:t>
            </w:r>
          </w:p>
        </w:tc>
      </w:tr>
      <w:tr>
        <w:tc>
          <w:tcPr>
            <w:tcW w:type="dxa" w:w="4082"/>
          </w:tcPr>
          <w:p>
            <w:pPr>
              <w:bidi w:val="1"/>
              <w:spacing w:before="60" w:after="60" w:line="276" w:lineRule="auto"/>
              <w:jc w:val="right"/>
            </w:pPr>
            <w:r/>
            <w:r>
              <w:rPr>
                <w:rFonts w:ascii="Arial" w:hAnsi="Arial" w:cs="Arial" w:eastAsia="Arial"/>
                <w:b w:val="0"/>
                <w:i w:val="0"/>
                <w:sz w:val="24"/>
                <w:u w:val="none"/>
                <w:szCs w:val="24"/>
                <w:rtl/>
                <w:lang w:val="en-US" w:bidi="he-IL"/>
              </w:rPr>
              <w:t>חסימת שחרור גלוטמט והורדת צריכת אנרגיה.</w:t>
            </w:r>
          </w:p>
        </w:tc>
        <w:tc>
          <w:tcPr>
            <w:tcW w:type="dxa" w:w="2381"/>
          </w:tcPr>
          <w:p>
            <w:pPr>
              <w:bidi w:val="1"/>
              <w:spacing w:before="60" w:after="60" w:line="276" w:lineRule="auto"/>
              <w:jc w:val="right"/>
            </w:pPr>
            <w:r/>
            <w:r>
              <w:rPr>
                <w:rFonts w:ascii="Arial" w:hAnsi="Arial" w:cs="Arial" w:eastAsia="Arial"/>
                <w:b w:val="0"/>
                <w:i w:val="0"/>
                <w:sz w:val="24"/>
                <w:u w:val="none"/>
                <w:szCs w:val="24"/>
                <w:rtl/>
                <w:lang w:val="en-US" w:bidi="he-IL"/>
              </w:rPr>
              <w:t>"בלם חירום"</w:t>
            </w:r>
          </w:p>
        </w:tc>
        <w:tc>
          <w:tcPr>
            <w:tcW w:type="dxa" w:w="2948"/>
          </w:tcPr>
          <w:p>
            <w:pPr>
              <w:bidi w:val="1"/>
              <w:spacing w:before="60" w:after="60" w:line="276" w:lineRule="auto"/>
              <w:jc w:val="right"/>
            </w:pPr>
            <w:r/>
            <w:r>
              <w:rPr>
                <w:rFonts w:ascii="Arial" w:hAnsi="Arial" w:cs="Arial" w:eastAsia="Arial"/>
                <w:b w:val="0"/>
                <w:i w:val="0"/>
                <w:sz w:val="24"/>
                <w:u w:val="none"/>
                <w:szCs w:val="24"/>
                <w:rtl/>
                <w:lang w:val="en-US" w:bidi="he-IL"/>
              </w:rPr>
              <w:t>אדנוזין</w:t>
            </w:r>
          </w:p>
        </w:tc>
      </w:tr>
      <w:tr>
        <w:tc>
          <w:tcPr>
            <w:tcW w:type="dxa" w:w="4082"/>
          </w:tcPr>
          <w:p>
            <w:pPr>
              <w:bidi w:val="1"/>
              <w:spacing w:before="60" w:after="60" w:line="276" w:lineRule="auto"/>
              <w:jc w:val="right"/>
            </w:pPr>
            <w:r/>
            <w:r>
              <w:rPr>
                <w:rFonts w:ascii="Arial" w:hAnsi="Arial" w:cs="Arial" w:eastAsia="Arial"/>
                <w:b w:val="0"/>
                <w:i w:val="0"/>
                <w:sz w:val="24"/>
                <w:u w:val="none"/>
                <w:szCs w:val="24"/>
                <w:rtl/>
                <w:lang w:val="en-US" w:bidi="he-IL"/>
              </w:rPr>
              <w:t>תיקון חלבונים פגומים ומניעת מוות תאי מתוכנן.</w:t>
            </w:r>
          </w:p>
        </w:tc>
        <w:tc>
          <w:tcPr>
            <w:tcW w:type="dxa" w:w="2381"/>
          </w:tcPr>
          <w:p>
            <w:pPr>
              <w:bidi w:val="1"/>
              <w:spacing w:before="60" w:after="60" w:line="276" w:lineRule="auto"/>
              <w:jc w:val="right"/>
            </w:pPr>
            <w:r/>
            <w:r>
              <w:rPr>
                <w:rFonts w:ascii="Arial" w:hAnsi="Arial" w:cs="Arial" w:eastAsia="Arial"/>
                <w:b w:val="0"/>
                <w:i w:val="0"/>
                <w:sz w:val="24"/>
                <w:u w:val="none"/>
                <w:szCs w:val="24"/>
                <w:rtl/>
                <w:lang w:val="en-US" w:bidi="he-IL"/>
              </w:rPr>
              <w:t>"מנהל עבודה"</w:t>
            </w:r>
          </w:p>
        </w:tc>
        <w:tc>
          <w:tcPr>
            <w:tcW w:type="dxa" w:w="2948"/>
          </w:tcPr>
          <w:p>
            <w:pPr>
              <w:bidi w:val="1"/>
              <w:spacing w:before="60" w:after="60" w:line="276" w:lineRule="auto"/>
              <w:jc w:val="right"/>
            </w:pPr>
            <w:r/>
            <w:r>
              <w:rPr>
                <w:rFonts w:ascii="Arial" w:hAnsi="Arial" w:cs="Arial" w:eastAsia="Arial"/>
                <w:b w:val="0"/>
                <w:i w:val="0"/>
                <w:sz w:val="24"/>
                <w:u w:val="none"/>
                <w:szCs w:val="24"/>
                <w:lang w:val="en-US" w:bidi="he-IL"/>
              </w:rPr>
              <w:t>HSP70</w:t>
            </w:r>
          </w:p>
        </w:tc>
      </w:tr>
      <w:tr>
        <w:tc>
          <w:tcPr>
            <w:tcW w:type="dxa" w:w="4082"/>
          </w:tcPr>
          <w:p>
            <w:pPr>
              <w:bidi w:val="1"/>
              <w:spacing w:before="60" w:after="60" w:line="276" w:lineRule="auto"/>
              <w:jc w:val="right"/>
            </w:pPr>
            <w:r/>
            <w:r>
              <w:rPr>
                <w:rFonts w:ascii="Arial" w:hAnsi="Arial" w:cs="Arial" w:eastAsia="Arial"/>
                <w:b w:val="0"/>
                <w:i w:val="0"/>
                <w:sz w:val="24"/>
                <w:u w:val="none"/>
                <w:szCs w:val="24"/>
                <w:rtl/>
                <w:lang w:val="en-US" w:bidi="he-IL"/>
              </w:rPr>
              <w:t>הפחתת דלקת ועידוד הישרדות תאים.</w:t>
            </w:r>
          </w:p>
        </w:tc>
        <w:tc>
          <w:tcPr>
            <w:tcW w:type="dxa" w:w="2381"/>
          </w:tcPr>
          <w:p>
            <w:pPr>
              <w:bidi w:val="1"/>
              <w:spacing w:before="60" w:after="60" w:line="276" w:lineRule="auto"/>
              <w:jc w:val="right"/>
            </w:pPr>
            <w:r/>
            <w:r>
              <w:rPr>
                <w:rFonts w:ascii="Arial" w:hAnsi="Arial" w:cs="Arial" w:eastAsia="Arial"/>
                <w:b w:val="0"/>
                <w:i w:val="0"/>
                <w:sz w:val="24"/>
                <w:u w:val="none"/>
                <w:szCs w:val="24"/>
                <w:rtl/>
                <w:lang w:val="en-US" w:bidi="he-IL"/>
              </w:rPr>
              <w:t>"משקם"</w:t>
            </w:r>
          </w:p>
        </w:tc>
        <w:tc>
          <w:tcPr>
            <w:tcW w:type="dxa" w:w="2948"/>
          </w:tcPr>
          <w:p>
            <w:pPr>
              <w:bidi w:val="1"/>
              <w:spacing w:before="60" w:after="60" w:line="276" w:lineRule="auto"/>
              <w:jc w:val="right"/>
            </w:pPr>
            <w:r/>
            <w:r>
              <w:rPr>
                <w:rFonts w:ascii="Arial" w:hAnsi="Arial" w:cs="Arial" w:eastAsia="Arial"/>
                <w:b w:val="0"/>
                <w:i w:val="0"/>
                <w:sz w:val="24"/>
                <w:u w:val="none"/>
                <w:szCs w:val="24"/>
                <w:rtl/>
                <w:lang w:val="en-US" w:bidi="he-IL"/>
              </w:rPr>
              <w:t xml:space="preserve">אריתרופויאטין </w:t>
            </w:r>
            <w:r>
              <w:rPr>
                <w:rFonts w:ascii="Arial" w:hAnsi="Arial" w:cs="Arial" w:eastAsia="Arial"/>
                <w:b w:val="0"/>
                <w:i w:val="0"/>
                <w:sz w:val="24"/>
                <w:u w:val="none"/>
                <w:szCs w:val="24"/>
                <w:lang w:val="en-US" w:bidi="he-IL"/>
              </w:rPr>
              <w:t>(EPO)</w:t>
            </w:r>
          </w:p>
        </w:tc>
      </w:tr>
    </w:tbl>
    <w:p>
      <w:pPr>
        <w:bidi w:val="1"/>
        <w:spacing w:before="0" w:after="80" w:line="276" w:lineRule="auto"/>
        <w:jc w:val="right"/>
      </w:pPr>
    </w:p>
    <w:p>
      <w:pPr>
        <w:bidi w:val="0"/>
        <w:spacing w:before="280" w:after="120" w:line="276" w:lineRule="auto"/>
        <w:jc w:val="right"/>
      </w:pPr>
      <w:r>
        <w:rPr>
          <w:rFonts w:ascii="Arial" w:hAnsi="Arial" w:cs="Arial" w:eastAsia="Arial"/>
          <w:b/>
          <w:i w:val="0"/>
          <w:color w:val="1F3A5F"/>
          <w:sz w:val="28"/>
          <w:u w:val="none"/>
          <w:szCs w:val="28"/>
          <w:lang w:val="en-US" w:bidi="he-IL"/>
        </w:rPr>
        <w:t>Apotosis</w:t>
      </w:r>
    </w:p>
    <w:p>
      <w:pPr>
        <w:bidi w:val="1"/>
        <w:spacing w:before="0" w:after="120" w:line="276" w:lineRule="auto"/>
        <w:jc w:val="right"/>
      </w:pPr>
      <w:r>
        <w:rPr>
          <w:rFonts w:ascii="Arial" w:hAnsi="Arial" w:cs="Arial" w:eastAsia="Arial"/>
          <w:b w:val="0"/>
          <w:i w:val="0"/>
          <w:sz w:val="24"/>
          <w:u w:val="none"/>
          <w:szCs w:val="24"/>
          <w:rtl/>
          <w:lang w:val="en-US" w:bidi="he-IL"/>
        </w:rPr>
        <w:t xml:space="preserve">קיים רצף בין שני הליכי תמותה תאית. בקצה האחד אפוטוסיס: התכווצות התא, הנמסות גרעין התא, התפרקות ה </w:t>
      </w:r>
      <w:r>
        <w:rPr>
          <w:rFonts w:ascii="Arial" w:hAnsi="Arial" w:cs="Arial" w:eastAsia="Arial"/>
          <w:b w:val="0"/>
          <w:i w:val="0"/>
          <w:sz w:val="24"/>
          <w:u w:val="none"/>
          <w:szCs w:val="24"/>
          <w:lang w:val="en-US" w:bidi="he-IL"/>
        </w:rPr>
        <w:t>DNA</w:t>
      </w:r>
      <w:r>
        <w:rPr>
          <w:rFonts w:ascii="Arial" w:hAnsi="Arial" w:cs="Arial" w:eastAsia="Arial"/>
          <w:b w:val="0"/>
          <w:i w:val="0"/>
          <w:sz w:val="24"/>
          <w:u w:val="none"/>
          <w:szCs w:val="24"/>
          <w:rtl/>
          <w:lang w:val="en-US" w:bidi="he-IL"/>
        </w:rPr>
        <w:t xml:space="preserve"> ויצירת גופים אפוטוטופיים. בקצה השני תמותה מנקרוסיס (ניוון), נוצרת עקב נפיחות התא והגרעין והתפרקות הממברנה.</w:t>
      </w:r>
    </w:p>
    <w:p>
      <w:pPr>
        <w:bidi w:val="1"/>
        <w:spacing w:before="0" w:after="120" w:line="276" w:lineRule="auto"/>
        <w:jc w:val="right"/>
      </w:pPr>
      <w:r>
        <w:rPr>
          <w:rFonts w:ascii="Arial" w:hAnsi="Arial" w:cs="Arial" w:eastAsia="Arial"/>
          <w:b w:val="0"/>
          <w:i w:val="0"/>
          <w:sz w:val="24"/>
          <w:u w:val="none"/>
          <w:szCs w:val="24"/>
          <w:rtl/>
          <w:lang w:val="en-US" w:bidi="he-IL"/>
        </w:rPr>
        <w:t xml:space="preserve">אפוטוסיס נוצר כתוצאה מסידרה של ארועים וסיגנלים ביוכימיים תוך תאיים ובשל כך נהוג לכנותו כיום: תמותה תאית מכוונת. ב </w:t>
      </w:r>
      <w:r>
        <w:rPr>
          <w:rFonts w:ascii="Arial" w:hAnsi="Arial" w:cs="Arial" w:eastAsia="Arial"/>
          <w:b w:val="0"/>
          <w:i w:val="0"/>
          <w:sz w:val="24"/>
          <w:u w:val="none"/>
          <w:szCs w:val="24"/>
          <w:lang w:val="en-US" w:bidi="he-IL"/>
        </w:rPr>
        <w:t>TBI</w:t>
      </w:r>
      <w:r>
        <w:rPr>
          <w:rFonts w:ascii="Arial" w:hAnsi="Arial" w:cs="Arial" w:eastAsia="Arial"/>
          <w:b w:val="0"/>
          <w:i w:val="0"/>
          <w:sz w:val="24"/>
          <w:u w:val="none"/>
          <w:szCs w:val="24"/>
          <w:rtl/>
          <w:lang w:val="en-US" w:bidi="he-IL"/>
        </w:rPr>
        <w:t xml:space="preserve"> קשה מאוד להבחין אילו תאים נכחדו מאיזה תהליך מבין השניים ולעיתים התמותה אף מעורבת.</w:t>
      </w:r>
    </w:p>
    <w:p>
      <w:pPr>
        <w:bidi w:val="0"/>
        <w:spacing w:before="80" w:after="40" w:line="276" w:lineRule="auto"/>
        <w:jc w:val="center"/>
      </w:pPr>
      <w:r>
        <w:drawing>
          <wp:inline xmlns:a="http://schemas.openxmlformats.org/drawingml/2006/main" xmlns:pic="http://schemas.openxmlformats.org/drawingml/2006/picture">
            <wp:extent cx="3960000" cy="2724480"/>
            <wp:docPr id="5" name="Picture 5"/>
            <wp:cNvGraphicFramePr>
              <a:graphicFrameLocks noChangeAspect="1"/>
            </wp:cNvGraphicFramePr>
            <a:graphic>
              <a:graphicData uri="http://schemas.openxmlformats.org/drawingml/2006/picture">
                <pic:pic>
                  <pic:nvPicPr>
                    <pic:cNvPr id="0" name="apoptosis_mech.png"/>
                    <pic:cNvPicPr/>
                  </pic:nvPicPr>
                  <pic:blipFill>
                    <a:blip r:embed="rId13"/>
                    <a:stretch>
                      <a:fillRect/>
                    </a:stretch>
                  </pic:blipFill>
                  <pic:spPr>
                    <a:xfrm>
                      <a:off x="0" y="0"/>
                      <a:ext cx="3960000" cy="2724480"/>
                    </a:xfrm>
                    <a:prstGeom prst="rect"/>
                  </pic:spPr>
                </pic:pic>
              </a:graphicData>
            </a:graphic>
          </wp:inline>
        </w:drawing>
      </w:r>
    </w:p>
    <w:p>
      <w:pPr>
        <w:bidi w:val="0"/>
        <w:spacing w:before="0" w:after="120" w:line="276" w:lineRule="auto"/>
        <w:jc w:val="right"/>
      </w:pPr>
      <w:r>
        <w:rPr>
          <w:rFonts w:ascii="Arial" w:hAnsi="Arial" w:cs="Arial" w:eastAsia="Arial"/>
          <w:b w:val="0"/>
          <w:i w:val="0"/>
          <w:sz w:val="24"/>
          <w:u w:val="none"/>
          <w:szCs w:val="24"/>
          <w:lang w:val="en-US" w:bidi="he-IL"/>
        </w:rPr>
        <w:t>http://classconnection.s3.amazonaws.com/86/flashcards/468086/jpg/mechs_of_apoptosis.jpg</w:t>
      </w:r>
    </w:p>
    <w:p>
      <w:pPr>
        <w:bidi w:val="0"/>
        <w:spacing w:before="80" w:after="40" w:line="276" w:lineRule="auto"/>
        <w:jc w:val="center"/>
      </w:pPr>
      <w:r>
        <w:drawing>
          <wp:inline xmlns:a="http://schemas.openxmlformats.org/drawingml/2006/main" xmlns:pic="http://schemas.openxmlformats.org/drawingml/2006/picture">
            <wp:extent cx="3240000" cy="3132000"/>
            <wp:docPr id="6" name="Picture 6"/>
            <wp:cNvGraphicFramePr>
              <a:graphicFrameLocks noChangeAspect="1"/>
            </wp:cNvGraphicFramePr>
            <a:graphic>
              <a:graphicData uri="http://schemas.openxmlformats.org/drawingml/2006/picture">
                <pic:pic>
                  <pic:nvPicPr>
                    <pic:cNvPr id="0" name="apoptosis_micro.png"/>
                    <pic:cNvPicPr/>
                  </pic:nvPicPr>
                  <pic:blipFill>
                    <a:blip r:embed="rId14"/>
                    <a:stretch>
                      <a:fillRect/>
                    </a:stretch>
                  </pic:blipFill>
                  <pic:spPr>
                    <a:xfrm>
                      <a:off x="0" y="0"/>
                      <a:ext cx="3240000" cy="3132000"/>
                    </a:xfrm>
                    <a:prstGeom prst="rect"/>
                  </pic:spPr>
                </pic:pic>
              </a:graphicData>
            </a:graphic>
          </wp:inline>
        </w:drawing>
      </w:r>
    </w:p>
    <w:p>
      <w:pPr>
        <w:bidi w:val="0"/>
        <w:spacing w:before="0" w:after="120" w:line="276" w:lineRule="auto"/>
        <w:jc w:val="right"/>
      </w:pPr>
      <w:r>
        <w:rPr>
          <w:rFonts w:ascii="Arial" w:hAnsi="Arial" w:cs="Arial" w:eastAsia="Arial"/>
          <w:b w:val="0"/>
          <w:i w:val="0"/>
          <w:sz w:val="24"/>
          <w:u w:val="none"/>
          <w:szCs w:val="24"/>
          <w:lang w:val="en-US" w:bidi="he-IL"/>
        </w:rPr>
        <w:t>http://www.reading.ac.uk/nitricoxide/intro/apoptosis/apoptosis.jpg</w:t>
      </w:r>
    </w:p>
    <w:p>
      <w:pPr>
        <w:bidi w:val="1"/>
        <w:spacing w:before="280" w:after="120" w:line="276" w:lineRule="auto"/>
        <w:jc w:val="right"/>
      </w:pPr>
      <w:r>
        <w:rPr>
          <w:rFonts w:ascii="Arial" w:hAnsi="Arial" w:cs="Arial" w:eastAsia="Arial"/>
          <w:b/>
          <w:i w:val="0"/>
          <w:color w:val="1F3A5F"/>
          <w:sz w:val="28"/>
          <w:u w:val="none"/>
          <w:szCs w:val="28"/>
          <w:rtl/>
          <w:lang w:val="en-US" w:bidi="he-IL"/>
        </w:rPr>
        <w:t xml:space="preserve">הרס אקסונאלי טראומטי </w:t>
      </w:r>
      <w:r>
        <w:rPr>
          <w:rFonts w:ascii="Arial" w:hAnsi="Arial" w:cs="Arial" w:eastAsia="Arial"/>
          <w:b/>
          <w:i w:val="0"/>
          <w:color w:val="1F3A5F"/>
          <w:sz w:val="28"/>
          <w:u w:val="none"/>
          <w:szCs w:val="28"/>
          <w:lang w:val="en-US" w:bidi="he-IL"/>
        </w:rPr>
        <w:t>TAI</w:t>
      </w:r>
    </w:p>
    <w:p>
      <w:pPr>
        <w:bidi w:val="1"/>
        <w:spacing w:before="0" w:after="60" w:line="276" w:lineRule="auto"/>
        <w:jc w:val="right"/>
      </w:pPr>
      <w:r>
        <w:rPr>
          <w:rFonts w:ascii="Arial" w:hAnsi="Arial" w:cs="Arial" w:eastAsia="Arial"/>
          <w:b w:val="0"/>
          <w:i w:val="0"/>
          <w:sz w:val="24"/>
          <w:u w:val="none"/>
          <w:szCs w:val="24"/>
          <w:rtl/>
          <w:lang w:val="en-US" w:bidi="he-IL"/>
        </w:rPr>
        <w:t>•  מופיע בדרגות חומרה שונות כמו הפגיעה המוחית עצמה (קל, בינוני, חמור)</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ממצאים מהשנים האחרונות מלמדים שהוא נגרם לא רק מהפגיעה הראשונית (קריעה) אלא גם כהרס משני המכונה </w:t>
      </w:r>
      <w:r>
        <w:rPr>
          <w:rFonts w:ascii="Arial" w:hAnsi="Arial" w:cs="Arial" w:eastAsia="Arial"/>
          <w:b w:val="0"/>
          <w:i w:val="0"/>
          <w:sz w:val="24"/>
          <w:u w:val="none"/>
          <w:szCs w:val="24"/>
          <w:lang w:val="en-US" w:bidi="he-IL"/>
        </w:rPr>
        <w:t>"Secondary axotomy".</w:t>
      </w:r>
    </w:p>
    <w:p>
      <w:pPr>
        <w:bidi w:val="1"/>
        <w:spacing w:before="0" w:after="60" w:line="276" w:lineRule="auto"/>
        <w:jc w:val="right"/>
      </w:pPr>
      <w:r>
        <w:rPr>
          <w:rFonts w:ascii="Arial" w:hAnsi="Arial" w:cs="Arial" w:eastAsia="Arial"/>
          <w:b w:val="0"/>
          <w:i w:val="0"/>
          <w:sz w:val="24"/>
          <w:u w:val="none"/>
          <w:szCs w:val="24"/>
          <w:rtl/>
          <w:lang w:val="en-US" w:bidi="he-IL"/>
        </w:rPr>
        <w:t>•  ההבחנה היא ששתי הצורות של נפיחות אקסונים מתקיימות בפרופורציות שונות תוך תלות בחומרת הפגיעה.</w:t>
      </w:r>
    </w:p>
    <w:p>
      <w:pPr>
        <w:bidi w:val="0"/>
        <w:spacing w:before="80" w:after="40" w:line="276" w:lineRule="auto"/>
        <w:jc w:val="center"/>
      </w:pPr>
      <w:r>
        <w:drawing>
          <wp:inline xmlns:a="http://schemas.openxmlformats.org/drawingml/2006/main" xmlns:pic="http://schemas.openxmlformats.org/drawingml/2006/picture">
            <wp:extent cx="5328000" cy="3561347"/>
            <wp:docPr id="7" name="Picture 7"/>
            <wp:cNvGraphicFramePr>
              <a:graphicFrameLocks noChangeAspect="1"/>
            </wp:cNvGraphicFramePr>
            <a:graphic>
              <a:graphicData uri="http://schemas.openxmlformats.org/drawingml/2006/picture">
                <pic:pic>
                  <pic:nvPicPr>
                    <pic:cNvPr id="0" name="tai_top.png"/>
                    <pic:cNvPicPr/>
                  </pic:nvPicPr>
                  <pic:blipFill>
                    <a:blip r:embed="rId15"/>
                    <a:stretch>
                      <a:fillRect/>
                    </a:stretch>
                  </pic:blipFill>
                  <pic:spPr>
                    <a:xfrm>
                      <a:off x="0" y="0"/>
                      <a:ext cx="5328000" cy="3561347"/>
                    </a:xfrm>
                    <a:prstGeom prst="rect"/>
                  </pic:spPr>
                </pic:pic>
              </a:graphicData>
            </a:graphic>
          </wp:inline>
        </w:drawing>
      </w:r>
    </w:p>
    <w:p>
      <w:pPr>
        <w:bidi w:val="0"/>
        <w:spacing w:before="80" w:after="40" w:line="276" w:lineRule="auto"/>
        <w:jc w:val="center"/>
      </w:pPr>
      <w:r>
        <w:drawing>
          <wp:inline xmlns:a="http://schemas.openxmlformats.org/drawingml/2006/main" xmlns:pic="http://schemas.openxmlformats.org/drawingml/2006/picture">
            <wp:extent cx="5328000" cy="3555739"/>
            <wp:docPr id="8" name="Picture 8"/>
            <wp:cNvGraphicFramePr>
              <a:graphicFrameLocks noChangeAspect="1"/>
            </wp:cNvGraphicFramePr>
            <a:graphic>
              <a:graphicData uri="http://schemas.openxmlformats.org/drawingml/2006/picture">
                <pic:pic>
                  <pic:nvPicPr>
                    <pic:cNvPr id="0" name="tai_bot.png"/>
                    <pic:cNvPicPr/>
                  </pic:nvPicPr>
                  <pic:blipFill>
                    <a:blip r:embed="rId16"/>
                    <a:stretch>
                      <a:fillRect/>
                    </a:stretch>
                  </pic:blipFill>
                  <pic:spPr>
                    <a:xfrm>
                      <a:off x="0" y="0"/>
                      <a:ext cx="5328000" cy="3555739"/>
                    </a:xfrm>
                    <a:prstGeom prst="rect"/>
                  </pic:spPr>
                </pic:pic>
              </a:graphicData>
            </a:graphic>
          </wp:inline>
        </w:drawing>
      </w:r>
    </w:p>
    <w:p>
      <w:pPr>
        <w:bidi w:val="0"/>
        <w:spacing w:before="0" w:after="40" w:line="276" w:lineRule="auto"/>
        <w:jc w:val="right"/>
      </w:pPr>
      <w:r>
        <w:rPr>
          <w:rFonts w:ascii="Arial" w:hAnsi="Arial" w:cs="Arial" w:eastAsia="Arial"/>
          <w:b w:val="0"/>
          <w:i w:val="0"/>
          <w:sz w:val="24"/>
          <w:u w:val="none"/>
          <w:szCs w:val="24"/>
          <w:lang w:val="en-US" w:bidi="he-IL"/>
        </w:rPr>
        <w:t>Temporal progression of traumatic axonal injury in the mouse optic nerve. Immunohistochemistry for the heavy neurofilament subunit protein (A, C, E, and G) or dephosphorylated neurofilament protein (B, D, F, and H) revealed wavy axons of uniform diameter in sham injured animals (A and B). In contrast, stretch injury resulted in localized swellings and axonal bulbs in a subset of axons interspersed among normal-appearing axons at 1 day after injury (C and D). At 4 days after injury, a greater number of axonal swellings and bulbs were evident (E and F) concomitant with initial signs of axonal degeneration (E) and more widespread dephosphorylation (F). At 2 weeks after injury, axonal swellings and bulbs were observed amid degenerative debris (G and H). All panels show nerves oriented proximal (left) to distal (right). Scale bar = 50 m.</w:t>
      </w:r>
    </w:p>
    <w:p>
      <w:pPr>
        <w:bidi w:val="0"/>
        <w:spacing w:before="0" w:after="160" w:line="276" w:lineRule="auto"/>
        <w:jc w:val="right"/>
      </w:pPr>
      <w:r>
        <w:rPr>
          <w:rFonts w:ascii="Arial" w:hAnsi="Arial" w:cs="Arial" w:eastAsia="Arial"/>
          <w:b w:val="0"/>
          <w:i w:val="0"/>
          <w:sz w:val="24"/>
          <w:u w:val="none"/>
          <w:szCs w:val="24"/>
          <w:lang w:val="en-US" w:bidi="he-IL"/>
        </w:rPr>
        <w:t>http://www.nature.com/jcbfm/journal/v23/n1/thumbs/9591350f1th.jpg</w:t>
      </w:r>
    </w:p>
    <w:p>
      <w:pPr>
        <w:bidi w:val="1"/>
        <w:spacing w:before="280" w:after="120" w:line="276" w:lineRule="auto"/>
        <w:jc w:val="right"/>
      </w:pPr>
      <w:r>
        <w:rPr>
          <w:rFonts w:ascii="Arial" w:hAnsi="Arial" w:cs="Arial" w:eastAsia="Arial"/>
          <w:b/>
          <w:i w:val="0"/>
          <w:color w:val="1F3A5F"/>
          <w:sz w:val="28"/>
          <w:u w:val="none"/>
          <w:szCs w:val="28"/>
          <w:rtl/>
          <w:lang w:val="en-US" w:bidi="he-IL"/>
        </w:rPr>
        <w:t xml:space="preserve">טיפול ב </w:t>
      </w:r>
      <w:r>
        <w:rPr>
          <w:rFonts w:ascii="Arial" w:hAnsi="Arial" w:cs="Arial" w:eastAsia="Arial"/>
          <w:b/>
          <w:i w:val="0"/>
          <w:color w:val="1F3A5F"/>
          <w:sz w:val="28"/>
          <w:u w:val="none"/>
          <w:szCs w:val="28"/>
          <w:lang w:val="en-US" w:bidi="he-IL"/>
        </w:rPr>
        <w:t>TAI</w:t>
      </w:r>
    </w:p>
    <w:p>
      <w:pPr>
        <w:bidi w:val="1"/>
        <w:spacing w:before="0" w:after="60" w:line="276" w:lineRule="auto"/>
        <w:jc w:val="right"/>
      </w:pPr>
      <w:r>
        <w:rPr>
          <w:rFonts w:ascii="Arial" w:hAnsi="Arial" w:cs="Arial" w:eastAsia="Arial"/>
          <w:b w:val="0"/>
          <w:i w:val="0"/>
          <w:sz w:val="24"/>
          <w:u w:val="none"/>
          <w:szCs w:val="24"/>
          <w:rtl/>
          <w:lang w:val="en-US" w:bidi="he-IL"/>
        </w:rPr>
        <w:t xml:space="preserve">•  </w:t>
      </w:r>
      <w:r>
        <w:rPr>
          <w:rFonts w:ascii="Arial" w:hAnsi="Arial" w:cs="Arial" w:eastAsia="Arial"/>
          <w:b w:val="0"/>
          <w:i w:val="0"/>
          <w:sz w:val="24"/>
          <w:u w:val="none"/>
          <w:szCs w:val="24"/>
          <w:rtl/>
          <w:lang w:val="en-US" w:bidi="he-IL"/>
        </w:rPr>
        <w:t xml:space="preserve">טיפול ב </w:t>
      </w:r>
      <w:r>
        <w:rPr>
          <w:rFonts w:ascii="Arial" w:hAnsi="Arial" w:cs="Arial" w:eastAsia="Arial"/>
          <w:b w:val="0"/>
          <w:i w:val="0"/>
          <w:sz w:val="24"/>
          <w:u w:val="none"/>
          <w:szCs w:val="24"/>
          <w:lang w:val="en-US" w:bidi="he-IL"/>
        </w:rPr>
        <w:t>TAI</w:t>
      </w:r>
      <w:r>
        <w:rPr>
          <w:rFonts w:ascii="Arial" w:hAnsi="Arial" w:cs="Arial" w:eastAsia="Arial"/>
          <w:b w:val="0"/>
          <w:i w:val="0"/>
          <w:sz w:val="24"/>
          <w:u w:val="none"/>
          <w:szCs w:val="24"/>
          <w:rtl/>
          <w:lang w:val="en-US" w:bidi="he-IL"/>
        </w:rPr>
        <w:t xml:space="preserve"> נעשה על יד היפותרמיה או ע"י ציקלוספורין </w:t>
      </w:r>
      <w:r>
        <w:rPr>
          <w:rFonts w:ascii="Arial" w:hAnsi="Arial" w:cs="Arial" w:eastAsia="Arial"/>
          <w:b w:val="0"/>
          <w:i w:val="0"/>
          <w:sz w:val="24"/>
          <w:u w:val="none"/>
          <w:szCs w:val="24"/>
          <w:lang w:val="en-US" w:bidi="he-IL"/>
        </w:rPr>
        <w:t>A</w:t>
      </w:r>
      <w:r>
        <w:rPr>
          <w:rFonts w:ascii="Arial" w:hAnsi="Arial" w:cs="Arial" w:eastAsia="Arial"/>
          <w:b w:val="0"/>
          <w:i w:val="0"/>
          <w:sz w:val="24"/>
          <w:u w:val="none"/>
          <w:szCs w:val="24"/>
          <w:rtl/>
          <w:lang w:val="en-US" w:bidi="he-IL"/>
        </w:rPr>
        <w:t>, שניהם מפחיתים את עוצמת הנזק. יחד עם זאת היפותרמיה גם פוגמת בגדילה מחדש.</w:t>
      </w:r>
    </w:p>
    <w:p>
      <w:pPr>
        <w:bidi w:val="1"/>
        <w:spacing w:before="280" w:after="120" w:line="276" w:lineRule="auto"/>
        <w:jc w:val="right"/>
      </w:pPr>
      <w:r>
        <w:rPr>
          <w:rFonts w:ascii="Arial" w:hAnsi="Arial" w:cs="Arial" w:eastAsia="Arial"/>
          <w:b/>
          <w:i w:val="0"/>
          <w:color w:val="1F3A5F"/>
          <w:sz w:val="28"/>
          <w:u w:val="none"/>
          <w:szCs w:val="28"/>
          <w:rtl/>
          <w:lang w:val="en-US" w:bidi="he-IL"/>
        </w:rPr>
        <w:t>נפיחות מוחית</w:t>
      </w:r>
    </w:p>
    <w:p>
      <w:pPr>
        <w:bidi w:val="1"/>
        <w:spacing w:before="0" w:after="60" w:line="276" w:lineRule="auto"/>
        <w:jc w:val="right"/>
      </w:pPr>
      <w:r>
        <w:rPr>
          <w:rFonts w:ascii="Arial" w:hAnsi="Arial" w:cs="Arial" w:eastAsia="Arial"/>
          <w:b w:val="0"/>
          <w:i w:val="0"/>
          <w:sz w:val="24"/>
          <w:u w:val="none"/>
          <w:szCs w:val="24"/>
          <w:rtl/>
          <w:lang w:val="en-US" w:bidi="he-IL"/>
        </w:rPr>
        <w:t>•  נפיחות מוחית ועליית לחץ תוך גולגלתי הן תופעות משניות נוספות וחמורות בהשפעתן.</w:t>
      </w:r>
    </w:p>
    <w:p>
      <w:pPr>
        <w:bidi w:val="1"/>
        <w:spacing w:before="0" w:after="60" w:line="276" w:lineRule="auto"/>
        <w:jc w:val="right"/>
      </w:pPr>
      <w:r>
        <w:rPr>
          <w:rFonts w:ascii="Arial" w:hAnsi="Arial" w:cs="Arial" w:eastAsia="Arial"/>
          <w:b w:val="0"/>
          <w:i w:val="0"/>
          <w:sz w:val="24"/>
          <w:u w:val="none"/>
          <w:szCs w:val="24"/>
          <w:rtl/>
          <w:lang w:val="en-US" w:bidi="he-IL"/>
        </w:rPr>
        <w:t>•  הן פועלות בשתי צורות: חסימת זרימת הדם או דפורמציה על ידי בקע מוחי (הרניאציה).</w:t>
      </w:r>
    </w:p>
    <w:p>
      <w:pPr>
        <w:bidi w:val="1"/>
        <w:spacing w:before="0" w:after="60" w:line="276" w:lineRule="auto"/>
        <w:jc w:val="right"/>
      </w:pPr>
      <w:r>
        <w:rPr>
          <w:rFonts w:ascii="Arial" w:hAnsi="Arial" w:cs="Arial" w:eastAsia="Arial"/>
          <w:b w:val="0"/>
          <w:i w:val="0"/>
          <w:sz w:val="24"/>
          <w:u w:val="none"/>
          <w:szCs w:val="24"/>
          <w:rtl/>
          <w:lang w:val="en-US" w:bidi="he-IL"/>
        </w:rPr>
        <w:t>•  יש גורמים ביולוגיים רבים התורמים ליצירת נפיחות ועליה בלחץ התוך גולגלתי לאחר הפגיעה. מרכזית שבהם היא בצקת מוחית.</w:t>
      </w:r>
    </w:p>
    <w:p>
      <w:pPr>
        <w:bidi w:val="0"/>
        <w:spacing w:before="80" w:after="40" w:line="276" w:lineRule="auto"/>
        <w:jc w:val="center"/>
      </w:pPr>
      <w:r>
        <w:drawing>
          <wp:inline xmlns:a="http://schemas.openxmlformats.org/drawingml/2006/main" xmlns:pic="http://schemas.openxmlformats.org/drawingml/2006/picture">
            <wp:extent cx="5616000" cy="2104267"/>
            <wp:docPr id="9" name="Picture 9"/>
            <wp:cNvGraphicFramePr>
              <a:graphicFrameLocks noChangeAspect="1"/>
            </wp:cNvGraphicFramePr>
            <a:graphic>
              <a:graphicData uri="http://schemas.openxmlformats.org/drawingml/2006/picture">
                <pic:pic>
                  <pic:nvPicPr>
                    <pic:cNvPr id="0" name="ct_top.png"/>
                    <pic:cNvPicPr/>
                  </pic:nvPicPr>
                  <pic:blipFill>
                    <a:blip r:embed="rId17"/>
                    <a:stretch>
                      <a:fillRect/>
                    </a:stretch>
                  </pic:blipFill>
                  <pic:spPr>
                    <a:xfrm>
                      <a:off x="0" y="0"/>
                      <a:ext cx="5616000" cy="2104267"/>
                    </a:xfrm>
                    <a:prstGeom prst="rect"/>
                  </pic:spPr>
                </pic:pic>
              </a:graphicData>
            </a:graphic>
          </wp:inline>
        </w:drawing>
      </w:r>
    </w:p>
    <w:p>
      <w:pPr>
        <w:bidi w:val="0"/>
        <w:spacing w:before="80" w:after="40" w:line="276" w:lineRule="auto"/>
        <w:jc w:val="center"/>
      </w:pPr>
      <w:r>
        <w:drawing>
          <wp:inline xmlns:a="http://schemas.openxmlformats.org/drawingml/2006/main" xmlns:pic="http://schemas.openxmlformats.org/drawingml/2006/picture">
            <wp:extent cx="5616000" cy="2104267"/>
            <wp:docPr id="10" name="Picture 10"/>
            <wp:cNvGraphicFramePr>
              <a:graphicFrameLocks noChangeAspect="1"/>
            </wp:cNvGraphicFramePr>
            <a:graphic>
              <a:graphicData uri="http://schemas.openxmlformats.org/drawingml/2006/picture">
                <pic:pic>
                  <pic:nvPicPr>
                    <pic:cNvPr id="0" name="ct_bot.png"/>
                    <pic:cNvPicPr/>
                  </pic:nvPicPr>
                  <pic:blipFill>
                    <a:blip r:embed="rId18"/>
                    <a:stretch>
                      <a:fillRect/>
                    </a:stretch>
                  </pic:blipFill>
                  <pic:spPr>
                    <a:xfrm>
                      <a:off x="0" y="0"/>
                      <a:ext cx="5616000" cy="2104267"/>
                    </a:xfrm>
                    <a:prstGeom prst="rect"/>
                  </pic:spPr>
                </pic:pic>
              </a:graphicData>
            </a:graphic>
          </wp:inline>
        </w:drawing>
      </w:r>
    </w:p>
    <w:p>
      <w:pPr>
        <w:bidi w:val="0"/>
        <w:spacing w:before="0" w:after="160" w:line="276" w:lineRule="auto"/>
        <w:jc w:val="right"/>
      </w:pPr>
      <w:r>
        <w:rPr>
          <w:rFonts w:ascii="Arial" w:hAnsi="Arial" w:cs="Arial" w:eastAsia="Arial"/>
          <w:b w:val="0"/>
          <w:i w:val="0"/>
          <w:sz w:val="24"/>
          <w:u w:val="none"/>
          <w:szCs w:val="24"/>
          <w:lang w:val="en-US" w:bidi="he-IL"/>
        </w:rPr>
        <w:t>Figure 1. Global edema on the admission CT scan. All were obtained within 24 hours of onset. Patient 1 was a 42-year-old man admitted with a Hunt-Hess grade I SAH from a left anterior communicating artery aneurysm. Patient 2 was a 54-year-old woman with a Hunt-Hess grade 2 SAH from a right posterior communicating aneurysm; note the trace amount of SAH in the basal cisterns. Patient 3 was a 32-year-old woman with Hunt-Hess grade 1 SAH from a left ophthalmic artery aneurysm. Patient 4 was a 64-year-old woman with a Hunt-Hess grade 4 SAH from a right middle cerebral artery aneurysm, with a large right perisylvian hematoma. All patients show effacement of the hemispheric sulci and disruption of the hemispheric gray-white matter junction that is due to diffuse peripheral fingerlike extension of the normal demarcation between gray and white matter. https://doi.org/10.1161/01.STR.0000015624.29071.1F</w:t>
      </w:r>
    </w:p>
    <w:p>
      <w:pPr>
        <w:bidi w:val="1"/>
        <w:spacing w:before="280" w:after="120" w:line="276" w:lineRule="auto"/>
        <w:jc w:val="right"/>
      </w:pPr>
      <w:r>
        <w:rPr>
          <w:rFonts w:ascii="Arial" w:hAnsi="Arial" w:cs="Arial" w:eastAsia="Arial"/>
          <w:b/>
          <w:i w:val="0"/>
          <w:color w:val="1F3A5F"/>
          <w:sz w:val="28"/>
          <w:u w:val="none"/>
          <w:szCs w:val="28"/>
          <w:rtl/>
          <w:lang w:val="en-US" w:bidi="he-IL"/>
        </w:rPr>
        <w:t>דלקות ורגנרציה:</w:t>
      </w:r>
    </w:p>
    <w:p>
      <w:pPr>
        <w:bidi w:val="1"/>
        <w:spacing w:before="0" w:after="60" w:line="276" w:lineRule="auto"/>
        <w:jc w:val="right"/>
      </w:pPr>
      <w:r>
        <w:rPr>
          <w:rFonts w:ascii="Arial" w:hAnsi="Arial" w:cs="Arial" w:eastAsia="Arial"/>
          <w:b w:val="0"/>
          <w:i w:val="0"/>
          <w:sz w:val="24"/>
          <w:u w:val="none"/>
          <w:szCs w:val="24"/>
          <w:rtl/>
          <w:lang w:val="en-US" w:bidi="he-IL"/>
        </w:rPr>
        <w:t>•  לדלקות יש השפעה שלילית מיידית אך לעיתים גם השפעה כרונית חיובית על המוח בכך שהן מעודדות רגנרציה בתגובת שרשרת.</w:t>
      </w:r>
    </w:p>
    <w:tbl>
      <w:tblPr>
        <w:tblW w:type="dxa" w:w="9298"/>
        <w:jc w:val="center"/>
        <w:tblLayout w:type="fixed"/>
        <w:tblLook w:firstColumn="1" w:firstRow="1" w:lastColumn="0" w:lastRow="0" w:noHBand="0" w:noVBand="1" w:val="04A0"/>
        <w:tblBorders>
          <w:top w:val="nil"/>
          <w:left w:val="nil"/>
          <w:bottom w:val="nil"/>
          <w:right w:val="nil"/>
          <w:insideH w:val="nil"/>
          <w:insideV w:val="nil"/>
        </w:tblBorders>
      </w:tblPr>
      <w:tblGrid>
        <w:gridCol w:w="2041"/>
        <w:gridCol w:w="567"/>
        <w:gridCol w:w="6690"/>
      </w:tblGrid>
      <w:tr>
        <w:tc>
          <w:tcPr>
            <w:tcW w:type="dxa" w:w="2041"/>
          </w:tcPr>
          <w:p>
            <w:pPr>
              <w:bidi w:val="0"/>
              <w:spacing w:before="40" w:after="40" w:line="276" w:lineRule="auto"/>
              <w:jc w:val="center"/>
            </w:pPr>
            <w:r/>
            <w:r>
              <w:drawing>
                <wp:inline xmlns:a="http://schemas.openxmlformats.org/drawingml/2006/main" xmlns:pic="http://schemas.openxmlformats.org/drawingml/2006/picture">
                  <wp:extent cx="1152000" cy="1019469"/>
                  <wp:docPr id="11" name="Picture 11"/>
                  <wp:cNvGraphicFramePr>
                    <a:graphicFrameLocks noChangeAspect="1"/>
                  </wp:cNvGraphicFramePr>
                  <a:graphic>
                    <a:graphicData uri="http://schemas.openxmlformats.org/drawingml/2006/picture">
                      <pic:pic>
                        <pic:nvPicPr>
                          <pic:cNvPr id="0" name="inflam_head.png"/>
                          <pic:cNvPicPr/>
                        </pic:nvPicPr>
                        <pic:blipFill>
                          <a:blip r:embed="rId19"/>
                          <a:stretch>
                            <a:fillRect/>
                          </a:stretch>
                        </pic:blipFill>
                        <pic:spPr>
                          <a:xfrm>
                            <a:off x="0" y="0"/>
                            <a:ext cx="1152000" cy="1019469"/>
                          </a:xfrm>
                          <a:prstGeom prst="rect"/>
                        </pic:spPr>
                      </pic:pic>
                    </a:graphicData>
                  </a:graphic>
                </wp:inline>
              </w:drawing>
            </w:r>
          </w:p>
        </w:tc>
        <w:tc>
          <w:tcPr>
            <w:tcW w:type="dxa" w:w="567"/>
          </w:tcPr>
          <w:p>
            <w:pPr>
              <w:bidi w:val="0"/>
              <w:spacing w:before="40" w:after="40" w:line="276" w:lineRule="auto"/>
              <w:jc w:val="center"/>
            </w:pPr>
            <w:r/>
            <w:r>
              <w:rPr>
                <w:rFonts w:ascii="Arial" w:hAnsi="Arial" w:cs="Arial" w:eastAsia="Arial"/>
                <w:b/>
                <w:i w:val="0"/>
                <w:sz w:val="32"/>
                <w:u w:val="none"/>
                <w:szCs w:val="32"/>
                <w:lang w:val="en-US" w:bidi="he-IL"/>
              </w:rPr>
              <w:t>=</w:t>
            </w:r>
          </w:p>
        </w:tc>
        <w:tc>
          <w:tcPr>
            <w:tcW w:type="dxa" w:w="6690"/>
          </w:tcPr>
          <w:p>
            <w:pPr>
              <w:bidi w:val="0"/>
              <w:spacing w:before="40" w:after="40" w:line="276" w:lineRule="auto"/>
              <w:jc w:val="center"/>
            </w:pPr>
            <w:r/>
            <w:r>
              <w:drawing>
                <wp:inline xmlns:a="http://schemas.openxmlformats.org/drawingml/2006/main" xmlns:pic="http://schemas.openxmlformats.org/drawingml/2006/picture">
                  <wp:extent cx="4104000" cy="2496600"/>
                  <wp:docPr id="12" name="Picture 12"/>
                  <wp:cNvGraphicFramePr>
                    <a:graphicFrameLocks noChangeAspect="1"/>
                  </wp:cNvGraphicFramePr>
                  <a:graphic>
                    <a:graphicData uri="http://schemas.openxmlformats.org/drawingml/2006/picture">
                      <pic:pic>
                        <pic:nvPicPr>
                          <pic:cNvPr id="0" name="inflam_diagram.png"/>
                          <pic:cNvPicPr/>
                        </pic:nvPicPr>
                        <pic:blipFill>
                          <a:blip r:embed="rId20"/>
                          <a:stretch>
                            <a:fillRect/>
                          </a:stretch>
                        </pic:blipFill>
                        <pic:spPr>
                          <a:xfrm>
                            <a:off x="0" y="0"/>
                            <a:ext cx="4104000" cy="2496600"/>
                          </a:xfrm>
                          <a:prstGeom prst="rect"/>
                        </pic:spPr>
                      </pic:pic>
                    </a:graphicData>
                  </a:graphic>
                </wp:inline>
              </w:drawing>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אתיולוגיה של פגיעות מוחיות: פגיעות משניות</dc:title>
  <dc:subject/>
  <dc:creator>פרופ' דני הופיין</dc:creator>
  <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