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80" w:line="276" w:lineRule="auto"/>
        <w:jc w:val="right"/>
      </w:pPr>
      <w:r>
        <w:rPr>
          <w:rFonts w:ascii="Arial" w:hAnsi="Arial" w:cs="Arial" w:eastAsia="Arial"/>
          <w:b/>
          <w:color w:val="1F3A5F"/>
          <w:sz w:val="32"/>
          <w:szCs w:val="32"/>
          <w:rtl/>
          <w:lang w:val="en-US" w:bidi="he-IL"/>
        </w:rPr>
        <w:t>אפידמיולוגיה של פגיעות ראש טראומתיות</w:t>
      </w:r>
    </w:p>
    <w:p>
      <w:pPr>
        <w:bidi w:val="1"/>
        <w:spacing w:before="0" w:after="0" w:line="276" w:lineRule="auto"/>
        <w:jc w:val="right"/>
      </w:pPr>
      <w:r>
        <w:rPr>
          <w:rFonts w:ascii="Arial" w:hAnsi="Arial" w:cs="Arial" w:eastAsia="Arial"/>
          <w:b/>
          <w:sz w:val="24"/>
          <w:szCs w:val="24"/>
          <w:rtl/>
          <w:lang w:val="en-US" w:bidi="he-IL"/>
        </w:rPr>
        <w:t>פרופ' דני הופיין</w:t>
      </w:r>
    </w:p>
    <w:p>
      <w:pPr>
        <w:bidi w:val="1"/>
        <w:spacing w:before="0" w:after="1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המכללה האקדמית תל אביב-יפו</w:t>
      </w:r>
    </w:p>
    <w:p>
      <w:pPr>
        <w:bidi w:val="1"/>
        <w:spacing w:before="0" w:after="20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התקינו בטלפון הנייד את אפליקציית 3D Brain.</w:t>
      </w:r>
    </w:p>
    <w:p>
      <w:pPr>
        <w:bidi w:val="1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8"/>
          <w:szCs w:val="28"/>
          <w:rtl/>
          <w:lang w:val="en-US" w:bidi="he-IL"/>
        </w:rPr>
        <w:t>הודעת זכויות יוצרים</w:t>
      </w:r>
    </w:p>
    <w:p>
      <w:pPr>
        <w:bidi w:val="1"/>
        <w:spacing w:before="0" w:after="1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מצגת זו מורכבת מציורים, תמונות וטקסטים עליהם יש לגורמים שונים בעולם זכויות יוצרים.</w:t>
      </w:r>
    </w:p>
    <w:p>
      <w:pPr>
        <w:bidi w:val="1"/>
        <w:spacing w:before="0" w:after="1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חל איסור על העתקת המצגת או חלקים ממנה לצרכים שאינם קשורים לסדנה בו היא מוצגת.</w:t>
      </w:r>
    </w:p>
    <w:p>
      <w:pPr>
        <w:bidi w:val="1"/>
        <w:spacing w:before="0" w:after="1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השימוש היחיד המותר במצגת זו או בחלקיה הוא כעזר ללמידה בסדנה זו.</w:t>
      </w:r>
    </w:p>
    <w:p>
      <w:pPr>
        <w:bidi w:val="1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8"/>
          <w:szCs w:val="28"/>
          <w:rtl/>
          <w:lang w:val="en-US" w:bidi="he-IL"/>
        </w:rPr>
        <w:t>סוגי פגיעות מוחיות</w:t>
      </w:r>
    </w:p>
    <w:p>
      <w:pPr>
        <w:bidi w:val="1"/>
        <w:spacing w:before="0" w:after="1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פגיעות נרכשות לעומת פגיעות מולדות. דוגמאות למולדות: הידרוצפלוס, פיגור אורגאני, ליקויי למידה, ADHD.</w:t>
      </w:r>
    </w:p>
    <w:p>
      <w:pPr>
        <w:bidi w:val="1"/>
        <w:spacing w:before="0" w:after="1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פגיעות נרכשות – שלושה סוגים: חבלה, חנק, ניוון.</w:t>
      </w:r>
    </w:p>
    <w:p>
      <w:pPr>
        <w:bidi w:val="1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6"/>
          <w:szCs w:val="26"/>
          <w:rtl/>
          <w:lang w:val="en-US" w:bidi="he-IL"/>
        </w:rPr>
        <w:t>פגיעות חבלה נרכשות</w:t>
      </w:r>
    </w:p>
    <w:p>
      <w:pPr>
        <w:bidi w:val="0"/>
        <w:spacing w:before="0" w:after="4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CHI – Closed Head Injury</w:t>
      </w:r>
    </w:p>
    <w:p>
      <w:pPr>
        <w:bidi w:val="0"/>
        <w:spacing w:before="0" w:after="4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CCI – Cerebral Cranial Injury</w:t>
      </w:r>
    </w:p>
    <w:p>
      <w:pPr>
        <w:bidi w:val="0"/>
        <w:spacing w:before="0" w:after="4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TBI – Traumatic Brain Injury</w:t>
      </w:r>
    </w:p>
    <w:p>
      <w:pPr>
        <w:bidi w:val="1"/>
        <w:spacing w:before="80" w:after="1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פגיעות חבלה כתוצאה מהסרת גידולים.</w:t>
      </w:r>
    </w:p>
    <w:p>
      <w:pPr>
        <w:bidi w:val="1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6"/>
          <w:szCs w:val="26"/>
          <w:rtl/>
          <w:lang w:val="en-US" w:bidi="he-IL"/>
        </w:rPr>
        <w:t>פגיעות חנק נרכשות</w:t>
      </w:r>
    </w:p>
    <w:p>
      <w:pPr>
        <w:bidi w:val="0"/>
        <w:spacing w:before="0" w:after="4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CVA – Cerebral Vascular Accident</w:t>
      </w:r>
    </w:p>
    <w:p>
      <w:pPr>
        <w:bidi w:val="0"/>
        <w:spacing w:before="0" w:after="1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Stroke, Emboly, Anurism, Anoxia (Internal and external causes).</w:t>
      </w:r>
    </w:p>
    <w:p>
      <w:pPr>
        <w:bidi w:val="1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8"/>
          <w:szCs w:val="28"/>
          <w:rtl/>
          <w:lang w:val="en-US" w:bidi="he-IL"/>
        </w:rPr>
        <w:t>מדדי חומרה ומבחנים נוירולוגיים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/>
          <w:sz w:val="24"/>
          <w:szCs w:val="24"/>
          <w:rtl/>
          <w:lang w:val="en-US" w:bidi="he-IL"/>
        </w:rPr>
        <w:t>מדדי חומרה:</w:t>
      </w:r>
    </w:p>
    <w:p>
      <w:pPr>
        <w:bidi w:val="0"/>
        <w:spacing w:before="0" w:after="4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LOC – Length of Coma</w:t>
      </w:r>
    </w:p>
    <w:p>
      <w:pPr>
        <w:bidi w:val="0"/>
        <w:spacing w:before="0" w:after="4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PTA – Post Traumatic Amnesia</w:t>
      </w:r>
    </w:p>
    <w:p>
      <w:pPr>
        <w:bidi w:val="0"/>
        <w:spacing w:before="0" w:after="4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GCS – Glasgow Coma Scale</w:t>
      </w:r>
    </w:p>
    <w:p>
      <w:pPr>
        <w:bidi w:val="1"/>
        <w:spacing w:before="120" w:after="1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הדמיות ומבחנים נוירולוגיים: רפלקסים, כח גס וקואורדינציה.</w:t>
      </w:r>
    </w:p>
    <w:p>
      <w:pPr>
        <w:bidi w:val="0"/>
        <w:spacing w:before="0" w:after="1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EEG, CAT, MRI, PET, SPECT, FMRI.</w:t>
      </w:r>
    </w:p>
    <w:p>
      <w:pPr>
        <w:bidi w:val="0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6"/>
          <w:szCs w:val="26"/>
          <w:lang w:val="en-US" w:bidi="he-IL"/>
        </w:rPr>
        <w:t>Glasgow Coma Scale</w:t>
      </w:r>
    </w:p>
    <w:p>
      <w:pPr>
        <w:bidi w:val="0"/>
        <w:spacing w:before="40" w:after="40" w:line="276" w:lineRule="auto"/>
        <w:jc w:val="right"/>
      </w:pPr>
      <w:r>
        <w:rPr>
          <w:rFonts w:ascii="Arial" w:hAnsi="Arial" w:cs="Arial" w:eastAsia="Arial"/>
          <w:b/>
          <w:sz w:val="24"/>
          <w:szCs w:val="24"/>
          <w:lang w:val="en-US" w:bidi="he-IL"/>
        </w:rPr>
        <w:t>I. Best eye opening (1–4)</w:t>
      </w:r>
    </w:p>
    <w:p>
      <w:pPr>
        <w:bidi w:val="0"/>
        <w:spacing w:before="0" w:after="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1. none</w:t>
      </w:r>
    </w:p>
    <w:p>
      <w:pPr>
        <w:bidi w:val="0"/>
        <w:spacing w:before="0" w:after="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2. response to pain</w:t>
      </w:r>
    </w:p>
    <w:p>
      <w:pPr>
        <w:bidi w:val="0"/>
        <w:spacing w:before="0" w:after="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3. response to voice</w:t>
      </w:r>
    </w:p>
    <w:p>
      <w:pPr>
        <w:bidi w:val="0"/>
        <w:spacing w:before="0" w:after="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4. spontaneous</w:t>
      </w:r>
    </w:p>
    <w:p>
      <w:pPr>
        <w:bidi w:val="0"/>
        <w:spacing w:before="160" w:after="40" w:line="276" w:lineRule="auto"/>
        <w:jc w:val="right"/>
      </w:pPr>
      <w:r>
        <w:rPr>
          <w:rFonts w:ascii="Arial" w:hAnsi="Arial" w:cs="Arial" w:eastAsia="Arial"/>
          <w:b/>
          <w:sz w:val="24"/>
          <w:szCs w:val="24"/>
          <w:lang w:val="en-US" w:bidi="he-IL"/>
        </w:rPr>
        <w:t>II. Best motor resp’ (1–6)</w:t>
      </w:r>
    </w:p>
    <w:p>
      <w:pPr>
        <w:bidi w:val="0"/>
        <w:spacing w:before="0" w:after="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1. none</w:t>
      </w:r>
    </w:p>
    <w:p>
      <w:pPr>
        <w:bidi w:val="0"/>
        <w:spacing w:before="0" w:after="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2. abnormal extension</w:t>
      </w:r>
    </w:p>
    <w:p>
      <w:pPr>
        <w:bidi w:val="0"/>
        <w:spacing w:before="0" w:after="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3. abnormal flexion</w:t>
      </w:r>
    </w:p>
    <w:p>
      <w:pPr>
        <w:bidi w:val="0"/>
        <w:spacing w:before="0" w:after="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4. withdrawal from pain</w:t>
      </w:r>
    </w:p>
    <w:p>
      <w:pPr>
        <w:bidi w:val="0"/>
        <w:spacing w:before="0" w:after="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5. localization of pain</w:t>
      </w:r>
    </w:p>
    <w:p>
      <w:pPr>
        <w:bidi w:val="0"/>
        <w:spacing w:before="0" w:after="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6. obeys</w:t>
      </w:r>
    </w:p>
    <w:p>
      <w:pPr>
        <w:bidi w:val="0"/>
        <w:spacing w:before="160" w:after="40" w:line="276" w:lineRule="auto"/>
        <w:jc w:val="right"/>
      </w:pPr>
      <w:r>
        <w:rPr>
          <w:rFonts w:ascii="Arial" w:hAnsi="Arial" w:cs="Arial" w:eastAsia="Arial"/>
          <w:b/>
          <w:sz w:val="24"/>
          <w:szCs w:val="24"/>
          <w:lang w:val="en-US" w:bidi="he-IL"/>
        </w:rPr>
        <w:t>III. Best verbal resp’ (1–5)</w:t>
      </w:r>
    </w:p>
    <w:p>
      <w:pPr>
        <w:bidi w:val="0"/>
        <w:spacing w:before="0" w:after="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1. none</w:t>
      </w:r>
    </w:p>
    <w:p>
      <w:pPr>
        <w:bidi w:val="0"/>
        <w:spacing w:before="0" w:after="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2. incomprehensible</w:t>
      </w:r>
    </w:p>
    <w:p>
      <w:pPr>
        <w:bidi w:val="0"/>
        <w:spacing w:before="0" w:after="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3. inappropriate</w:t>
      </w:r>
    </w:p>
    <w:p>
      <w:pPr>
        <w:bidi w:val="0"/>
        <w:spacing w:before="0" w:after="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4. confused</w:t>
      </w:r>
    </w:p>
    <w:p>
      <w:pPr>
        <w:bidi w:val="0"/>
        <w:spacing w:before="0" w:after="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lang w:val="en-US" w:bidi="he-IL"/>
        </w:rPr>
        <w:t>5. oriented</w:t>
      </w:r>
    </w:p>
    <w:p>
      <w:pPr>
        <w:bidi w:val="1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8"/>
          <w:szCs w:val="28"/>
          <w:rtl/>
          <w:lang w:val="en-US" w:bidi="he-IL"/>
        </w:rPr>
        <w:t>טבלת דרגות חומרה</w:t>
      </w:r>
    </w:p>
    <w:p>
      <w:pPr>
        <w:bidi w:val="0"/>
        <w:spacing w:before="0" w:after="80" w:line="276" w:lineRule="auto"/>
        <w:jc w:val="right"/>
      </w:pPr>
      <w:r>
        <w:rPr>
          <w:rFonts w:ascii="Arial" w:hAnsi="Arial" w:cs="Arial" w:eastAsia="Arial"/>
          <w:b/>
          <w:sz w:val="24"/>
          <w:szCs w:val="24"/>
          <w:lang w:val="en-US" w:bidi="he-IL"/>
        </w:rPr>
        <w:t>Traumatic Brain Injury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CBD9"/>
          <w:left w:val="single" w:sz="4" w:space="0" w:color="BFCBD9"/>
          <w:bottom w:val="single" w:sz="4" w:space="0" w:color="BFCBD9"/>
          <w:right w:val="single" w:sz="4" w:space="0" w:color="BFCBD9"/>
          <w:insideH w:val="single" w:sz="4" w:space="0" w:color="BFCBD9"/>
          <w:insideV w:val="single" w:sz="4" w:space="0" w:color="BFCBD9"/>
        </w:tblBorders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353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lang w:val="en-US" w:bidi="he-IL"/>
              </w:rPr>
              <w:t>Measure</w:t>
            </w:r>
          </w:p>
        </w:tc>
        <w:tc>
          <w:tcPr>
            <w:tcW w:type="dxa" w:w="2353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lang w:val="en-US" w:bidi="he-IL"/>
              </w:rPr>
              <w:t>Mild</w:t>
            </w:r>
          </w:p>
        </w:tc>
        <w:tc>
          <w:tcPr>
            <w:tcW w:type="dxa" w:w="2353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lang w:val="en-US" w:bidi="he-IL"/>
              </w:rPr>
              <w:t>Moderate</w:t>
            </w:r>
          </w:p>
        </w:tc>
        <w:tc>
          <w:tcPr>
            <w:tcW w:type="dxa" w:w="2353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lang w:val="en-US" w:bidi="he-IL"/>
              </w:rPr>
              <w:t>Severe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Glasgow coma scale</w:t>
            </w:r>
          </w:p>
        </w:tc>
        <w:tc>
          <w:tcPr>
            <w:tcW w:type="dxa" w:w="2353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13–15</w:t>
            </w:r>
          </w:p>
        </w:tc>
        <w:tc>
          <w:tcPr>
            <w:tcW w:type="dxa" w:w="2353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9–12</w:t>
            </w:r>
          </w:p>
        </w:tc>
        <w:tc>
          <w:tcPr>
            <w:tcW w:type="dxa" w:w="2353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3–8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Loss of Consciousness</w:t>
            </w:r>
          </w:p>
        </w:tc>
        <w:tc>
          <w:tcPr>
            <w:tcW w:type="dxa" w:w="2353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&lt; 20 min</w:t>
            </w:r>
          </w:p>
        </w:tc>
        <w:tc>
          <w:tcPr>
            <w:tcW w:type="dxa" w:w="2353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20 min – 36 hr</w:t>
            </w:r>
          </w:p>
        </w:tc>
        <w:tc>
          <w:tcPr>
            <w:tcW w:type="dxa" w:w="2353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&gt; 36 hr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Posttraumatic amnesia</w:t>
            </w:r>
          </w:p>
        </w:tc>
        <w:tc>
          <w:tcPr>
            <w:tcW w:type="dxa" w:w="2353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&lt; 24 hr</w:t>
            </w:r>
          </w:p>
        </w:tc>
        <w:tc>
          <w:tcPr>
            <w:tcW w:type="dxa" w:w="2353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1–7 days</w:t>
            </w:r>
          </w:p>
        </w:tc>
        <w:tc>
          <w:tcPr>
            <w:tcW w:type="dxa" w:w="2353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&gt; 7 days</w:t>
            </w:r>
          </w:p>
        </w:tc>
      </w:tr>
    </w:tbl>
    <w:p>
      <w:pPr>
        <w:bidi w:val="1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8"/>
          <w:szCs w:val="28"/>
          <w:rtl/>
          <w:lang w:val="en-US" w:bidi="he-IL"/>
        </w:rPr>
        <w:t>שכיחות בארה"ב (מבוגרים)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מוערך כי בארצות הברית נחוות כ-2.5–2.8 מיליון פגיעות ראש חבלתיות כל שנה, כולל פגיעות קלות.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כ-75%–80% מכלל הפגיעות הן קלות (Mild TBI / זעזועי מוח).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כ-5.3 מיליון אמריקאים חיים עם נכות כרוכה ב-TBI (2–3% מכלל האוכלוסיה).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כ-795,000 מקרים של שבץ מוחי. כ-87% מכלל מקרי השבץ הם שבץ איסכמי.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כ-2.9% מהמבוגרים בארה"ב דיווחו על שבץ מוחי בעבר.</w:t>
      </w:r>
    </w:p>
    <w:p>
      <w:pPr>
        <w:bidi w:val="1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8"/>
          <w:szCs w:val="28"/>
          <w:rtl/>
          <w:lang w:val="en-US" w:bidi="he-IL"/>
        </w:rPr>
        <w:t>שכיחות חבלות ראש בישראל</w:t>
      </w:r>
    </w:p>
    <w:p>
      <w:pPr>
        <w:bidi w:val="1"/>
        <w:spacing w:before="0" w:after="1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המרכז הלאומי לחקר טראומה ורפואה דחופה אוסף מידע מ-20 בתי חולים ומרכזי רפואה דחופה בישראל ומדווח על הפגיעות הטראומטיות בישראל.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כ-24% ממקרי הטראומה כוללים חבלת ראש.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בשנים 2010–2015 היו 16,224 אנשים עם פגיעה מוחית קשה.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בשנים 2010–2015 היו 41,410 אנשים עם חבלות ראש נוספות.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כ-9000 אנשים עם חבלת ראש כל שנה, כ-2500 עם פגיעה קשה.</w:t>
      </w:r>
    </w:p>
    <w:p>
      <w:pPr>
        <w:bidi w:val="1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8"/>
          <w:szCs w:val="28"/>
          <w:rtl/>
          <w:lang w:val="en-US" w:bidi="he-IL"/>
        </w:rPr>
        <w:t>שכיחות שבץ מוחי בישראל</w:t>
      </w:r>
    </w:p>
    <w:p>
      <w:pPr>
        <w:bidi w:val="1"/>
        <w:spacing w:before="0" w:after="1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הרישום הלאומי לשבץ מוחי בישראל של המרכז הלאומי לבקרת מחלות מתייחס לכל אזרחי המדינה בני 18 ומעלה.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ב-2014–2015 לקו בשבץ מוחי או באירוע מוחי חולף 34,929 אנשים.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הגיל הממוצע 72, כ-20% מתחת לגיל 60, כ-30% מעל גיל 80.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67% שבץ איסכמי, 25% אירוע מוחי חולף, 7% דימום מוחי.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שיעורי תמותה אחרי שנה היו 23% בשבץ איסכמי ו-43% בדימום מוחי.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נזק קוגניטיבי אחרי שבץ מתועד ב-22% ממי ששורד (Douiri et al., 2013).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בשקלול כל הנתונים הללו, כל שנה מתווספים כ-2000 אנשים שלקו בשבץ איסכמי, שרדו כעבור שנה, וסובלים מנזק קוגניטיבי.</w:t>
      </w:r>
    </w:p>
    <w:p>
      <w:pPr>
        <w:bidi w:val="1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8"/>
          <w:szCs w:val="28"/>
          <w:rtl/>
          <w:lang w:val="en-US" w:bidi="he-IL"/>
        </w:rPr>
        <w:t>שכיחות אפילפסיה בישראל</w:t>
      </w:r>
    </w:p>
    <w:p>
      <w:pPr>
        <w:bidi w:val="1"/>
        <w:spacing w:before="0" w:after="1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לפי נתונים של מרכז המחקר והמידע של הכנסת שפורסמו בשנת 2017: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בינואר 2017 חיו בישראל 81,795 ילדים ומבוגרים עם אפילפסיה.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בשנת 2016 אובחנו 4,713 חולי אפילפסיה חדשים, 63% מעל גיל 18.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כלומר, בשנת 2016 אובחנו 2,969 מבוגרים כחולי אפילפסיה חדשים.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אפילפסיה היא הליקוי העיקרי בקרב 4,802 ממקבלי קצבת נכות בביטוח לאומי, ומחציתם זכאים ל-80–100 אחוזי נכות.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למבוגרים עם אפילפסיה יש ליקוי קוגניטיבי כבר בפרוץ המחלה, וחוקרים ממליצים לערוך אבחון נוירופסיכולוגי לפני הטיפול (Witt &amp; Helmstaedter, 2015).</w:t>
      </w:r>
    </w:p>
    <w:p>
      <w:pPr>
        <w:bidi w:val="1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8"/>
          <w:szCs w:val="28"/>
          <w:rtl/>
          <w:lang w:val="en-US" w:bidi="he-IL"/>
        </w:rPr>
        <w:t>כמה אבחונים נוירופסיכולוגים מבוצעים בישראל בשנה?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189 נוירופסיכולוגים דיווחו שהם מבצעים אבחונים נוירופסיכולוגים.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166 מומחים ומתמחים פירטו כמה אבחונים הם עורכים כל שנה.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בהערכה גסה, נערכים כ-1100–1900 אבחונים בשנה, כולל אבחונים לילדים.</w:t>
      </w:r>
    </w:p>
    <w:p>
      <w:pPr>
        <w:bidi w:val="1"/>
        <w:spacing w:before="120" w:after="8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על פי מחקר של קווה ובלוך:</w:t>
      </w:r>
    </w:p>
    <w:tbl>
      <w:tblPr>
        <w:tblW w:type="pct" w:w="5000"/>
        <w:jc w:val="center"/>
        <w:tblLook w:firstColumn="1" w:firstRow="1" w:lastColumn="0" w:lastRow="0" w:noHBand="0" w:noVBand="1" w:val="04A0"/>
        <w:bidiVisual/>
        <w:tblBorders>
          <w:top w:val="single" w:sz="4" w:space="0" w:color="BFCBD9"/>
          <w:left w:val="single" w:sz="4" w:space="0" w:color="BFCBD9"/>
          <w:bottom w:val="single" w:sz="4" w:space="0" w:color="BFCBD9"/>
          <w:right w:val="single" w:sz="4" w:space="0" w:color="BFCBD9"/>
          <w:insideH w:val="single" w:sz="4" w:space="0" w:color="BFCBD9"/>
          <w:insideV w:val="single" w:sz="4" w:space="0" w:color="BFCBD9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rtl/>
                <w:lang w:val="en-US" w:bidi="he-IL"/>
              </w:rPr>
              <w:t>מספר אבחונים בשנה</w:t>
            </w:r>
          </w:p>
        </w:tc>
        <w:tc>
          <w:tcPr>
            <w:tcW w:type="dxa" w:w="4706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rtl/>
                <w:lang w:val="en-US" w:bidi="he-IL"/>
              </w:rPr>
              <w:t>מספר מדווחים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1–2</w:t>
            </w:r>
          </w:p>
        </w:tc>
        <w:tc>
          <w:tcPr>
            <w:tcW w:type="dxa" w:w="4706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38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3–5</w:t>
            </w:r>
          </w:p>
        </w:tc>
        <w:tc>
          <w:tcPr>
            <w:tcW w:type="dxa" w:w="4706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46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6–10</w:t>
            </w:r>
          </w:p>
        </w:tc>
        <w:tc>
          <w:tcPr>
            <w:tcW w:type="dxa" w:w="4706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32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11–19</w:t>
            </w:r>
          </w:p>
        </w:tc>
        <w:tc>
          <w:tcPr>
            <w:tcW w:type="dxa" w:w="4706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22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20+</w:t>
            </w:r>
          </w:p>
        </w:tc>
        <w:tc>
          <w:tcPr>
            <w:tcW w:type="dxa" w:w="4706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27</w:t>
            </w:r>
          </w:p>
        </w:tc>
      </w:tr>
    </w:tbl>
    <w:p>
      <w:pPr>
        <w:bidi w:val="1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8"/>
          <w:szCs w:val="28"/>
          <w:rtl/>
          <w:lang w:val="en-US" w:bidi="he-IL"/>
        </w:rPr>
        <w:t>שכיחות בילדים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בארה"ב – כ-473,947 ביקורים בחדרי מיון לילדים בגיל 0–14 עקב פגיעה מוחית טראומטית בשנה (כולל פגיעות קלות).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2.5% מהילדים (≈1.8 מיליון בארה"ב) דיווחו שהיה להם TBI במהלך החיים עד גיל 17.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בישראל כ-23% מכלל האשפוזים בשל TBI היו ילדים.</w:t>
      </w:r>
    </w:p>
    <w:p>
      <w:pPr>
        <w:bidi w:val="1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8"/>
          <w:szCs w:val="28"/>
          <w:rtl/>
          <w:lang w:val="en-US" w:bidi="he-IL"/>
        </w:rPr>
        <w:t>סקירה</w:t>
      </w:r>
    </w:p>
    <w:p>
      <w:pPr>
        <w:bidi w:val="1"/>
        <w:spacing w:before="0" w:after="1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ניתוח הקשרים בין משתנים סוציואקונומיים ומשתני הפגיעה לבין תיפקוד המטופלים בעת הקבלה לטיפול (אישוש אמפירי של סטראוטיפים אבחנתיים).</w:t>
      </w:r>
    </w:p>
    <w:p>
      <w:pPr>
        <w:bidi w:val="1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8"/>
          <w:szCs w:val="28"/>
          <w:rtl/>
          <w:lang w:val="en-US" w:bidi="he-IL"/>
        </w:rPr>
        <w:t>נתונים תאוריים של הנבדקים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207 גברים ו-66 נשים.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ממוצע הגיל היה 33.51 (12.01).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ממוצע שנות הלימוד היה 12.47 (2.04).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150 רווקים, 105 נשואים ו-17 גרושים.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115 נבדקים גרו עם בן/בת זוג, 31 גרו לבד או עם שותף/ה, ו-125 גרו עם הוריהם.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ממוצע השנים מאז הפגיעה 4.7 (6.6).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66 מופני משהב"ט, 169 ביטוח לאומי ו-36 אחרים.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למרכז רקנאטי הופנו 138 ולמרכז שפיצר 135.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181 נפגעו בארוע חבלה ו-92 בארועי מחלה.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239 אינם נעזרים במלווה, 34 נעזרים.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ממוצע משך חוסר הכרה 7.83 ימים (17.3).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161 אינם מעורבים בתביעה משפטית, 107 מעורבים.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69 עובדים, 61 לא עבדו מסיבות בריאותיות, ו-143 מובטלים.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אינדקס היציבות התעסוקתית 0.09 (0.21).</w:t>
      </w:r>
    </w:p>
    <w:p>
      <w:pPr>
        <w:sectPr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bidi w:val="1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8"/>
          <w:szCs w:val="28"/>
          <w:rtl/>
          <w:lang w:val="en-US" w:bidi="he-IL"/>
        </w:rPr>
        <w:t>ערכי מובהקות</w:t>
      </w:r>
    </w:p>
    <w:p>
      <w:pPr>
        <w:bidi w:val="1"/>
        <w:spacing w:before="0" w:after="12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טבלה 22: ערכי המובהקות (p) של הקשרים המובהקים בין המשתנים הבלתי תלויים לבין המשתנים התלויים.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bidiVisual/>
        <w:tblBorders>
          <w:top w:val="single" w:sz="4" w:space="0" w:color="BFCBD9"/>
          <w:left w:val="single" w:sz="4" w:space="0" w:color="BFCBD9"/>
          <w:bottom w:val="single" w:sz="4" w:space="0" w:color="BFCBD9"/>
          <w:right w:val="single" w:sz="4" w:space="0" w:color="BFCBD9"/>
          <w:insideH w:val="single" w:sz="4" w:space="0" w:color="BFCBD9"/>
          <w:insideV w:val="single" w:sz="4" w:space="0" w:color="BFCBD9"/>
        </w:tblBorders>
      </w:tblPr>
      <w:tblGrid>
        <w:gridCol w:w="1032"/>
        <w:gridCol w:w="1032"/>
        <w:gridCol w:w="1032"/>
        <w:gridCol w:w="1032"/>
        <w:gridCol w:w="1032"/>
        <w:gridCol w:w="1032"/>
        <w:gridCol w:w="1032"/>
        <w:gridCol w:w="1032"/>
        <w:gridCol w:w="1032"/>
        <w:gridCol w:w="1032"/>
        <w:gridCol w:w="1032"/>
        <w:gridCol w:w="1032"/>
        <w:gridCol w:w="1032"/>
        <w:gridCol w:w="1032"/>
        <w:gridCol w:w="1032"/>
      </w:tblGrid>
      <w:tr>
        <w:trPr>
          <w:cantSplit/>
        </w:trPr>
        <w:tc>
          <w:tcPr>
            <w:tcW w:type="dxa" w:w="1032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rtl/>
                <w:lang w:val="en-US" w:bidi="he-IL"/>
              </w:rPr>
              <w:t>משתנה</w:t>
            </w:r>
          </w:p>
        </w:tc>
        <w:tc>
          <w:tcPr>
            <w:tcW w:type="dxa" w:w="1032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rtl/>
                <w:lang w:val="en-US" w:bidi="he-IL"/>
              </w:rPr>
              <w:t>יציבות</w:t>
            </w:r>
          </w:p>
        </w:tc>
        <w:tc>
          <w:tcPr>
            <w:tcW w:type="dxa" w:w="1032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rtl/>
                <w:lang w:val="en-US" w:bidi="he-IL"/>
              </w:rPr>
              <w:t>עבודה</w:t>
            </w:r>
          </w:p>
        </w:tc>
        <w:tc>
          <w:tcPr>
            <w:tcW w:type="dxa" w:w="1032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rtl/>
                <w:lang w:val="en-US" w:bidi="he-IL"/>
              </w:rPr>
              <w:t>תביעה</w:t>
            </w:r>
          </w:p>
        </w:tc>
        <w:tc>
          <w:tcPr>
            <w:tcW w:type="dxa" w:w="1032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rtl/>
                <w:lang w:val="en-US" w:bidi="he-IL"/>
              </w:rPr>
              <w:t>חוסר הכרה</w:t>
            </w:r>
          </w:p>
        </w:tc>
        <w:tc>
          <w:tcPr>
            <w:tcW w:type="dxa" w:w="1032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rtl/>
                <w:lang w:val="en-US" w:bidi="he-IL"/>
              </w:rPr>
              <w:t>סוג פגיעה</w:t>
            </w:r>
          </w:p>
        </w:tc>
        <w:tc>
          <w:tcPr>
            <w:tcW w:type="dxa" w:w="1032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rtl/>
                <w:lang w:val="en-US" w:bidi="he-IL"/>
              </w:rPr>
              <w:t>ליווי</w:t>
            </w:r>
          </w:p>
        </w:tc>
        <w:tc>
          <w:tcPr>
            <w:tcW w:type="dxa" w:w="1032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rtl/>
                <w:lang w:val="en-US" w:bidi="he-IL"/>
              </w:rPr>
              <w:t>סניף</w:t>
            </w:r>
          </w:p>
        </w:tc>
        <w:tc>
          <w:tcPr>
            <w:tcW w:type="dxa" w:w="1032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rtl/>
                <w:lang w:val="en-US" w:bidi="he-IL"/>
              </w:rPr>
              <w:t>גורם מפנה</w:t>
            </w:r>
          </w:p>
        </w:tc>
        <w:tc>
          <w:tcPr>
            <w:tcW w:type="dxa" w:w="1032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rtl/>
                <w:lang w:val="en-US" w:bidi="he-IL"/>
              </w:rPr>
              <w:t>זמן מהפגיעה</w:t>
            </w:r>
          </w:p>
        </w:tc>
        <w:tc>
          <w:tcPr>
            <w:tcW w:type="dxa" w:w="1032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rtl/>
                <w:lang w:val="en-US" w:bidi="he-IL"/>
              </w:rPr>
              <w:t>מגורים</w:t>
            </w:r>
          </w:p>
        </w:tc>
        <w:tc>
          <w:tcPr>
            <w:tcW w:type="dxa" w:w="1032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rtl/>
                <w:lang w:val="en-US" w:bidi="he-IL"/>
              </w:rPr>
              <w:t>מצב משפחתי</w:t>
            </w:r>
          </w:p>
        </w:tc>
        <w:tc>
          <w:tcPr>
            <w:tcW w:type="dxa" w:w="1032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rtl/>
                <w:lang w:val="en-US" w:bidi="he-IL"/>
              </w:rPr>
              <w:t>שנות לימוד</w:t>
            </w:r>
          </w:p>
        </w:tc>
        <w:tc>
          <w:tcPr>
            <w:tcW w:type="dxa" w:w="1032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rtl/>
                <w:lang w:val="en-US" w:bidi="he-IL"/>
              </w:rPr>
              <w:t>גיל</w:t>
            </w:r>
          </w:p>
        </w:tc>
        <w:tc>
          <w:tcPr>
            <w:tcW w:type="dxa" w:w="1032"/>
            <w:shd w:val="clear" w:color="auto" w:fill="1F4E7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  <w:szCs w:val="24"/>
                <w:rtl/>
                <w:lang w:val="en-US" w:bidi="he-IL"/>
              </w:rPr>
              <w:t>מגדר</w:t>
            </w:r>
          </w:p>
        </w:tc>
      </w:tr>
      <w:tr>
        <w:trPr>
          <w:cantSplit/>
        </w:trPr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sz w:val="24"/>
                <w:szCs w:val="24"/>
                <w:rtl/>
                <w:lang w:val="en-US" w:bidi="he-IL"/>
              </w:rPr>
              <w:t>ממוצע PQOL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0.05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0.05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sz w:val="24"/>
                <w:szCs w:val="24"/>
                <w:rtl/>
                <w:lang w:val="en-US" w:bidi="he-IL"/>
              </w:rPr>
              <w:t>ציון WSRS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0.05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sz w:val="24"/>
                <w:szCs w:val="24"/>
                <w:rtl/>
                <w:lang w:val="en-US" w:bidi="he-IL"/>
              </w:rPr>
              <w:t>CIQ בית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0.009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0.02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0.002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0.02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0.04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0.02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sz w:val="24"/>
                <w:szCs w:val="24"/>
                <w:rtl/>
                <w:lang w:val="en-US" w:bidi="he-IL"/>
              </w:rPr>
              <w:t>CIQ חברה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0.02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0.02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0.01</w:t>
            </w:r>
          </w:p>
        </w:tc>
      </w:tr>
      <w:tr>
        <w:trPr>
          <w:cantSplit/>
        </w:trPr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sz w:val="24"/>
                <w:szCs w:val="24"/>
                <w:rtl/>
                <w:lang w:val="en-US" w:bidi="he-IL"/>
              </w:rPr>
              <w:t>CIQ פרודקטיביות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0.002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0.004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0.02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0.03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sz w:val="24"/>
                <w:szCs w:val="24"/>
                <w:rtl/>
                <w:lang w:val="en-US" w:bidi="he-IL"/>
              </w:rPr>
              <w:t>CIQ כללי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0.02</w:t>
            </w:r>
          </w:p>
        </w:tc>
      </w:tr>
      <w:tr>
        <w:trPr>
          <w:cantSplit/>
        </w:trPr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sz w:val="24"/>
                <w:szCs w:val="24"/>
                <w:rtl/>
                <w:lang w:val="en-US" w:bidi="he-IL"/>
              </w:rPr>
              <w:t>ממוצע EADL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0.003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0.01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0.001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sz w:val="24"/>
                <w:szCs w:val="24"/>
                <w:rtl/>
                <w:lang w:val="en-US" w:bidi="he-IL"/>
              </w:rPr>
              <w:t>ממוצע BEC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0.03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0.01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sz w:val="24"/>
                <w:szCs w:val="24"/>
                <w:rtl/>
                <w:lang w:val="en-US" w:bidi="he-IL"/>
              </w:rPr>
              <w:t>ציון BURDON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0.02</w:t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4F7F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1"/>
              <w:spacing w:before="20" w:after="20" w:line="240" w:lineRule="auto"/>
              <w:jc w:val="right"/>
            </w:pPr>
            <w:r/>
            <w:r>
              <w:rPr>
                <w:rFonts w:ascii="Arial" w:hAnsi="Arial" w:cs="Arial" w:eastAsia="Arial"/>
                <w:b/>
                <w:sz w:val="24"/>
                <w:szCs w:val="24"/>
                <w:rtl/>
                <w:lang w:val="en-US" w:bidi="he-IL"/>
              </w:rPr>
              <w:t>מידת שת"פ ומוטיבציה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  <w:t>0.01</w:t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  <w:tc>
          <w:tcPr>
            <w:tcW w:type="dxa" w:w="1032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bidi w:val="0"/>
              <w:spacing w:before="20" w:after="20" w:line="240" w:lineRule="auto"/>
              <w:jc w:val="center"/>
            </w:pPr>
            <w:r/>
            <w:r>
              <w:rPr>
                <w:rFonts w:ascii="Arial" w:hAnsi="Arial" w:cs="Arial" w:eastAsia="Arial"/>
                <w:b w:val="0"/>
                <w:sz w:val="24"/>
                <w:szCs w:val="24"/>
                <w:lang w:val="en-US" w:bidi="he-IL"/>
              </w:rPr>
            </w:r>
          </w:p>
        </w:tc>
      </w:tr>
    </w:tbl>
    <w:p>
      <w:pPr>
        <w:sectPr>
          <w:type w:val="nextColumn"/>
          <w:pgSz w:w="16838" w:h="11906" w:orient="landscape"/>
          <w:pgMar w:top="794" w:right="680" w:bottom="794" w:left="680" w:header="720" w:footer="720" w:gutter="0"/>
          <w:cols w:space="720"/>
          <w:docGrid w:linePitch="360"/>
        </w:sectPr>
      </w:pPr>
    </w:p>
    <w:p>
      <w:pPr>
        <w:bidi w:val="1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8"/>
          <w:szCs w:val="28"/>
          <w:rtl/>
          <w:lang w:val="en-US" w:bidi="he-IL"/>
        </w:rPr>
        <w:t>מסקנות: מנבאים לא טובים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גיל בעת הבדיקה.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מצב המשפחתי.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זמן שעבר מאז הפגיעה.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גורם המפנה.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סניף המכון.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משך חוסר ההכרה.</w:t>
      </w:r>
    </w:p>
    <w:p>
      <w:pPr>
        <w:bidi w:val="1"/>
        <w:spacing w:before="280" w:after="120" w:line="276" w:lineRule="auto"/>
        <w:jc w:val="right"/>
      </w:pPr>
      <w:r>
        <w:rPr>
          <w:rFonts w:ascii="Arial" w:hAnsi="Arial" w:cs="Arial" w:eastAsia="Arial"/>
          <w:b/>
          <w:color w:val="1F3A5F"/>
          <w:sz w:val="28"/>
          <w:szCs w:val="28"/>
          <w:rtl/>
          <w:lang w:val="en-US" w:bidi="he-IL"/>
        </w:rPr>
        <w:t>מסקנות: מנבאים טובים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סוג הפגיעה (חבלה/מחלה).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תביעה משפטית (כן/לא).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שנות לימוד.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צורת המגורים.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ליווי (כן/לא).</w:t>
      </w:r>
    </w:p>
    <w:p>
      <w:pPr>
        <w:bidi w:val="1"/>
        <w:spacing w:before="0" w:after="60" w:line="276" w:lineRule="auto"/>
        <w:jc w:val="right"/>
      </w:pPr>
      <w:r>
        <w:rPr>
          <w:rFonts w:ascii="Arial" w:hAnsi="Arial" w:cs="Arial" w:eastAsia="Arial"/>
          <w:b w:val="0"/>
          <w:sz w:val="24"/>
          <w:szCs w:val="24"/>
          <w:rtl/>
          <w:lang w:val="en-US" w:bidi="he-IL"/>
        </w:rPr>
        <w:t>•  עבודה ויציבות תעסוקתית.</w:t>
      </w:r>
    </w:p>
    <w:sectPr w:rsidR="00FC693F" w:rsidRPr="0006063C" w:rsidSect="00034616">
      <w:type w:val="continuous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Arial" w:hAnsi="Arial" w:cs="Arial" w:eastAsia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אפידמיולוגיה של פגיעות ראש טראומתיות</dc:title>
  <dc:subject/>
  <dc:creator>פרופ' דני הופיין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דף עזר ללמידה</cp:category>
  <dc:language>he-IL</dc:language>
</cp:coreProperties>
</file>