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26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04.png" ContentType="image/png"/>
  <Override PartName="/word/media/rId107.png" ContentType="image/png"/>
  <Override PartName="/word/media/rId29.png" ContentType="image/png"/>
  <Override PartName="/word/media/rId110.png" ContentType="image/png"/>
  <Override PartName="/word/media/rId113.png" ContentType="image/png"/>
  <Override PartName="/word/media/rId116.png" ContentType="image/png"/>
  <Override PartName="/word/media/rId119.png" ContentType="image/png"/>
  <Override PartName="/word/media/rId122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Репкина</w:t>
      </w:r>
      <w:r>
        <w:t xml:space="preserve"> </w:t>
      </w:r>
      <w:r>
        <w:t xml:space="preserve">Елизавета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Релизация подпрограмм в NASM</w:t>
      </w:r>
    </w:p>
    <w:p>
      <w:pPr>
        <w:numPr>
          <w:ilvl w:val="0"/>
          <w:numId w:val="1001"/>
        </w:numPr>
        <w:pStyle w:val="Compact"/>
      </w:pPr>
      <w:r>
        <w:t xml:space="preserve">Отладка программ с помощью GDB</w:t>
      </w:r>
    </w:p>
    <w:p>
      <w:pPr>
        <w:numPr>
          <w:ilvl w:val="0"/>
          <w:numId w:val="1001"/>
        </w:numPr>
        <w:pStyle w:val="Compact"/>
      </w:pPr>
      <w:r>
        <w:t xml:space="preserve">Добавление точек останова</w:t>
      </w:r>
    </w:p>
    <w:p>
      <w:pPr>
        <w:numPr>
          <w:ilvl w:val="0"/>
          <w:numId w:val="1001"/>
        </w:numPr>
        <w:pStyle w:val="Compact"/>
      </w:pPr>
      <w:r>
        <w:t xml:space="preserve">Работа с данными программы в GDB</w:t>
      </w:r>
    </w:p>
    <w:p>
      <w:pPr>
        <w:numPr>
          <w:ilvl w:val="0"/>
          <w:numId w:val="1001"/>
        </w:numPr>
        <w:pStyle w:val="Compact"/>
      </w:pPr>
      <w:r>
        <w:t xml:space="preserve">Обработка аргументов командной строки в GDB</w:t>
      </w:r>
    </w:p>
    <w:p>
      <w:pPr>
        <w:numPr>
          <w:ilvl w:val="0"/>
          <w:numId w:val="1001"/>
        </w:numPr>
        <w:pStyle w:val="Compact"/>
      </w:pPr>
      <w:r>
        <w:t xml:space="preserve">Задание для самостоятельной работы.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Понятие об отладке</w:t>
      </w:r>
    </w:p>
    <w:p>
      <w:pPr>
        <w:pStyle w:val="BodyText"/>
      </w:pPr>
      <w:r>
        <w:t xml:space="preserve">Отладка — это процесс поиска и исправления ошибок в программе. В общем случае его</w:t>
      </w:r>
      <w:r>
        <w:t xml:space="preserve"> </w:t>
      </w:r>
      <w:r>
        <w:t xml:space="preserve">можно разделить на четыре этапа:</w:t>
      </w:r>
    </w:p>
    <w:p>
      <w:pPr>
        <w:pStyle w:val="BodyText"/>
      </w:pPr>
      <w:r>
        <w:t xml:space="preserve">• обнаружение ошибки;</w:t>
      </w:r>
    </w:p>
    <w:p>
      <w:pPr>
        <w:pStyle w:val="BodyText"/>
      </w:pPr>
      <w:r>
        <w:t xml:space="preserve">• поиск её местонахождения;</w:t>
      </w:r>
    </w:p>
    <w:p>
      <w:pPr>
        <w:pStyle w:val="BodyText"/>
      </w:pPr>
      <w:r>
        <w:t xml:space="preserve">• определение причины ошибки;</w:t>
      </w:r>
    </w:p>
    <w:p>
      <w:pPr>
        <w:pStyle w:val="BodyText"/>
      </w:pPr>
      <w:r>
        <w:t xml:space="preserve">• исправление ошибки.</w:t>
      </w:r>
    </w:p>
    <w:p>
      <w:pPr>
        <w:pStyle w:val="BodyText"/>
      </w:pPr>
      <w:r>
        <w:t xml:space="preserve">Можно выделить следующие типы ошибок:</w:t>
      </w:r>
    </w:p>
    <w:p>
      <w:pPr>
        <w:pStyle w:val="BodyText"/>
      </w:pPr>
      <w:r>
        <w:t xml:space="preserve">• синтаксические ошибки — обнаруживаются во время трансляции исходного кода и</w:t>
      </w:r>
      <w:r>
        <w:t xml:space="preserve"> </w:t>
      </w:r>
      <w:r>
        <w:t xml:space="preserve">вызваны нарушением ожидаемой формы или структуры языка;</w:t>
      </w:r>
    </w:p>
    <w:p>
      <w:pPr>
        <w:pStyle w:val="BodyText"/>
      </w:pPr>
      <w:r>
        <w:t xml:space="preserve">• семантические ошибки — являются логическими и приводят к тому, что программа</w:t>
      </w:r>
      <w:r>
        <w:t xml:space="preserve"> </w:t>
      </w:r>
      <w:r>
        <w:t xml:space="preserve">запускается, отрабатывает, но не даёт желаемого результата;</w:t>
      </w:r>
    </w:p>
    <w:p>
      <w:pPr>
        <w:pStyle w:val="BodyText"/>
      </w:pPr>
      <w:r>
        <w:t xml:space="preserve">• ошибки в процессе выполнения — не обнаруживаются при трансляции и вызывают прерывание выполнения программы (например, это ошибки, связанные с переполнением</w:t>
      </w:r>
      <w:r>
        <w:t xml:space="preserve"> </w:t>
      </w:r>
      <w:r>
        <w:t xml:space="preserve">или делением на ноль).</w:t>
      </w:r>
    </w:p>
    <w:p>
      <w:pPr>
        <w:pStyle w:val="BodyText"/>
      </w:pPr>
      <w:r>
        <w:t xml:space="preserve">Второй этап — поиск местонахождения ошибки. Некоторые ошибки обнаружить довольно трудно. Лучший способ найти место в программе, где находится ошибка, это разбить</w:t>
      </w:r>
      <w:r>
        <w:t xml:space="preserve"> </w:t>
      </w:r>
      <w:r>
        <w:t xml:space="preserve">программу на части и произвести их отладку отдельно друг от друга.</w:t>
      </w:r>
    </w:p>
    <w:p>
      <w:pPr>
        <w:pStyle w:val="BodyText"/>
      </w:pPr>
      <w:r>
        <w:t xml:space="preserve">Третий этап — выяснение причины ошибки. После определения местонахождения ошибки</w:t>
      </w:r>
      <w:r>
        <w:t xml:space="preserve"> </w:t>
      </w:r>
      <w:r>
        <w:t xml:space="preserve">обычно проще определить причину неправильной работы программы.</w:t>
      </w:r>
    </w:p>
    <w:p>
      <w:pPr>
        <w:pStyle w:val="BodyText"/>
      </w:pPr>
      <w:r>
        <w:t xml:space="preserve">Последний этап — исправление ошибки. После этого при повторном запуске программы,</w:t>
      </w:r>
      <w:r>
        <w:t xml:space="preserve"> </w:t>
      </w:r>
      <w:r>
        <w:t xml:space="preserve">может обнаружиться следующая ошибка, и процесс отладки начнётся заново.</w:t>
      </w:r>
    </w:p>
    <w:p>
      <w:pPr>
        <w:pStyle w:val="BodyText"/>
      </w:pPr>
      <w:r>
        <w:t xml:space="preserve">Методы отладки</w:t>
      </w:r>
    </w:p>
    <w:p>
      <w:pPr>
        <w:pStyle w:val="BodyText"/>
      </w:pPr>
      <w:r>
        <w:t xml:space="preserve">Наиболее часто применяют следующие методы отладки:</w:t>
      </w:r>
    </w:p>
    <w:p>
      <w:pPr>
        <w:pStyle w:val="BodyText"/>
      </w:pPr>
      <w:r>
        <w:t xml:space="preserve">• создание точек контроля значений на входе и выходе участка программы (например,</w:t>
      </w:r>
      <w:r>
        <w:t xml:space="preserve"> </w:t>
      </w:r>
      <w:r>
        <w:t xml:space="preserve">вывод промежуточных значений на экран — так называемые диагностические сообщения);</w:t>
      </w:r>
    </w:p>
    <w:p>
      <w:pPr>
        <w:pStyle w:val="BodyText"/>
      </w:pPr>
      <w:r>
        <w:t xml:space="preserve">• использование специальных программ-отладчиков.</w:t>
      </w:r>
    </w:p>
    <w:p>
      <w:pPr>
        <w:pStyle w:val="BodyText"/>
      </w:pPr>
      <w:r>
        <w:t xml:space="preserve">Отладчики позволяют управлять ходом выполнения программы, контролировать и изменять данные. Это помогает быстрее найти место ошибки в программе и ускорить её исправление. Наиболее популярные способы работы с отладчиком — это использование точек останова и выполнение программы по шагам.</w:t>
      </w:r>
      <w:r>
        <w:t xml:space="preserve"> </w:t>
      </w:r>
      <w:r>
        <w:t xml:space="preserve">Пошаговое выполнение — это выполнение программы с остановкой после каждой строчки, чтобы программист мог проверить значения переменных и выполнить другие действия.</w:t>
      </w:r>
      <w:r>
        <w:t xml:space="preserve"> </w:t>
      </w:r>
      <w:r>
        <w:t xml:space="preserve">Точки останова — это специально отмеченные места в программе, в которых программаотладчик приостанавливает выполнение программы и ждёт команд. Наиболее популярные виды точек останова:</w:t>
      </w:r>
    </w:p>
    <w:p>
      <w:pPr>
        <w:pStyle w:val="BodyText"/>
      </w:pPr>
      <w:r>
        <w:t xml:space="preserve">• Breakpoint — точка останова (остановка происходит, когда выполнение доходит до</w:t>
      </w:r>
      <w:r>
        <w:t xml:space="preserve"> </w:t>
      </w:r>
      <w:r>
        <w:t xml:space="preserve">определённой строки, адреса или процедуры, отмеченной программистом);</w:t>
      </w:r>
    </w:p>
    <w:p>
      <w:pPr>
        <w:pStyle w:val="BodyText"/>
      </w:pPr>
      <w:r>
        <w:t xml:space="preserve">• Watchpoint — точка просмотра (выполнение программы приостанавливается, если программа обратилась к определённой переменной: либо считала её значение, либо изменила его).</w:t>
      </w:r>
    </w:p>
    <w:p>
      <w:pPr>
        <w:pStyle w:val="BodyText"/>
      </w:pPr>
      <w:r>
        <w:t xml:space="preserve">Точки останова устанавливаются в отладчике на время сеанса работы с кодом программы, т.е. они сохраняются до выхода из программы-отладчика или до смены отлаживаемой</w:t>
      </w:r>
      <w:r>
        <w:t xml:space="preserve"> </w:t>
      </w:r>
      <w:r>
        <w:t xml:space="preserve">программы.</w:t>
      </w:r>
    </w:p>
    <w:bookmarkEnd w:id="22"/>
    <w:bookmarkStart w:id="12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Реализация подпрограмм в NASM</w:t>
      </w:r>
    </w:p>
    <w:p>
      <w:pPr>
        <w:pStyle w:val="BodyText"/>
      </w:pPr>
      <w:r>
        <w:t xml:space="preserve">Создаю каталог для выполнения лабораторной работы №9, перехожу в него и</w:t>
      </w:r>
      <w:r>
        <w:t xml:space="preserve"> </w:t>
      </w:r>
      <w:r>
        <w:t xml:space="preserve">создаю файл lab09-1.asm.(рис. 1)</w:t>
      </w:r>
    </w:p>
    <w:p>
      <w:pPr>
        <w:pStyle w:val="CaptionedFigure"/>
      </w:pPr>
      <w:r>
        <w:drawing>
          <wp:inline>
            <wp:extent cx="3733800" cy="876183"/>
            <wp:effectExtent b="0" l="0" r="0" t="0"/>
            <wp:docPr descr="Рис. 1: Выполнение команд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61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Выполнение команд</w:t>
      </w:r>
    </w:p>
    <w:p>
      <w:pPr>
        <w:pStyle w:val="BodyText"/>
      </w:pPr>
      <w:r>
        <w:t xml:space="preserve">Ввожу в файл lab09-1.asm текст программы из листинга 9.1. (рис. 2)</w:t>
      </w:r>
    </w:p>
    <w:p>
      <w:pPr>
        <w:pStyle w:val="CaptionedFigure"/>
      </w:pPr>
      <w:r>
        <w:drawing>
          <wp:inline>
            <wp:extent cx="3733800" cy="2044427"/>
            <wp:effectExtent b="0" l="0" r="0" t="0"/>
            <wp:docPr descr="Рис. 2: Редактирование файла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4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Редактирование файла</w:t>
      </w:r>
    </w:p>
    <w:p>
      <w:pPr>
        <w:pStyle w:val="BodyText"/>
      </w:pPr>
      <w:r>
        <w:t xml:space="preserve">Создаю исполняемый файл и запускаю его.(рис. 3)</w:t>
      </w:r>
    </w:p>
    <w:p>
      <w:pPr>
        <w:pStyle w:val="CaptionedFigure"/>
      </w:pPr>
      <w:r>
        <w:drawing>
          <wp:inline>
            <wp:extent cx="3733800" cy="767376"/>
            <wp:effectExtent b="0" l="0" r="0" t="0"/>
            <wp:docPr descr="Рис. 3: Запуск файла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7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Запуск файла</w:t>
      </w:r>
    </w:p>
    <w:p>
      <w:pPr>
        <w:pStyle w:val="BodyText"/>
      </w:pPr>
      <w:r>
        <w:t xml:space="preserve">Изменяю текст программы, добавляя подпрограмму _subcalcul в подпрограммы _calcul (рис. 4)</w:t>
      </w:r>
    </w:p>
    <w:p>
      <w:pPr>
        <w:pStyle w:val="CaptionedFigure"/>
      </w:pPr>
      <w:r>
        <w:drawing>
          <wp:inline>
            <wp:extent cx="3733800" cy="2514015"/>
            <wp:effectExtent b="0" l="0" r="0" t="0"/>
            <wp:docPr descr="Рис. 4: Редактирование файла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40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Редактирование файла</w:t>
      </w:r>
    </w:p>
    <w:p>
      <w:pPr>
        <w:pStyle w:val="BodyText"/>
      </w:pPr>
      <w:r>
        <w:t xml:space="preserve">Создаю исполняемый файл и запускаю его.(рис. 5)</w:t>
      </w:r>
    </w:p>
    <w:p>
      <w:pPr>
        <w:pStyle w:val="CaptionedFigure"/>
      </w:pPr>
      <w:r>
        <w:drawing>
          <wp:inline>
            <wp:extent cx="3733800" cy="738742"/>
            <wp:effectExtent b="0" l="0" r="0" t="0"/>
            <wp:docPr descr="Рис. 5: Запуск файла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38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Запуск файла</w:t>
      </w:r>
    </w:p>
    <w:p>
      <w:pPr>
        <w:pStyle w:val="BodyText"/>
      </w:pPr>
      <w:r>
        <w:t xml:space="preserve">Программа работает корректно.</w:t>
      </w:r>
    </w:p>
    <w:p>
      <w:pPr>
        <w:pStyle w:val="BodyText"/>
      </w:pPr>
      <w:r>
        <w:t xml:space="preserve">Отладка программам с помощью GDB</w:t>
      </w:r>
    </w:p>
    <w:p>
      <w:pPr>
        <w:pStyle w:val="BodyText"/>
      </w:pPr>
      <w:r>
        <w:t xml:space="preserve">Создаю файл lab09-2.asm с текстом программы из Листинга 9.2 (рис. 6)</w:t>
      </w:r>
    </w:p>
    <w:p>
      <w:pPr>
        <w:pStyle w:val="CaptionedFigure"/>
      </w:pPr>
      <w:r>
        <w:drawing>
          <wp:inline>
            <wp:extent cx="3733800" cy="2491108"/>
            <wp:effectExtent b="0" l="0" r="0" t="0"/>
            <wp:docPr descr="Рис. 6: Создание файла печати сообщения Hello world!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11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Создание файла печати сообщения Hello world!</w:t>
      </w:r>
    </w:p>
    <w:p>
      <w:pPr>
        <w:pStyle w:val="BodyText"/>
      </w:pPr>
      <w:r>
        <w:t xml:space="preserve">Получаю исполняемый файл.Для работы с GDB в исполняемый файл необходимо добавить отладочную информацию, для этого трансляцию программ</w:t>
      </w:r>
      <w:r>
        <w:t xml:space="preserve"> </w:t>
      </w:r>
      <w:r>
        <w:t xml:space="preserve">необходимо проводить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.Далее загружаю исполняемый файл в отладчик gdb и запускаю его с помощью команды run.(рис. 7)</w:t>
      </w:r>
    </w:p>
    <w:p>
      <w:pPr>
        <w:pStyle w:val="CaptionedFigure"/>
      </w:pPr>
      <w:r>
        <w:drawing>
          <wp:inline>
            <wp:extent cx="3733800" cy="3354675"/>
            <wp:effectExtent b="0" l="0" r="0" t="0"/>
            <wp:docPr descr="Рис. 7: Получение и загрузка в отлатчик исполняемого файла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54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Получение и загрузка в отлатчик исполняемого файла</w:t>
      </w:r>
    </w:p>
    <w:p>
      <w:pPr>
        <w:pStyle w:val="BodyText"/>
      </w:pPr>
      <w:r>
        <w:t xml:space="preserve">Устанавливаю брейкпоинт на метку _start и запукаю программу (рис. 8)</w:t>
      </w:r>
    </w:p>
    <w:p>
      <w:pPr>
        <w:pStyle w:val="CaptionedFigure"/>
      </w:pPr>
      <w:r>
        <w:drawing>
          <wp:inline>
            <wp:extent cx="3733800" cy="867390"/>
            <wp:effectExtent b="0" l="0" r="0" t="0"/>
            <wp:docPr descr="Рис. 8: Просмотр дисассимилированного кода программы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67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Просмотр дисассимилированного кода программы</w:t>
      </w:r>
    </w:p>
    <w:p>
      <w:pPr>
        <w:pStyle w:val="BodyText"/>
      </w:pPr>
      <w:r>
        <w:t xml:space="preserve">Смотрю дисассимилированный код программы с помощью команды disassemble начинаю с метки _start (рис. 9)</w:t>
      </w:r>
    </w:p>
    <w:p>
      <w:pPr>
        <w:pStyle w:val="CaptionedFigure"/>
      </w:pPr>
      <w:r>
        <w:drawing>
          <wp:inline>
            <wp:extent cx="3733800" cy="1774991"/>
            <wp:effectExtent b="0" l="0" r="0" t="0"/>
            <wp:docPr descr="Рис. 9: Просмотр дисассимилированного кода программы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4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Просмотр дисассимилированного кода программы</w:t>
      </w:r>
    </w:p>
    <w:p>
      <w:pPr>
        <w:pStyle w:val="BodyText"/>
      </w:pPr>
      <w:r>
        <w:t xml:space="preserve">Переключаюсь на отображение команд с Intel’овским синтаксисом, введя команду set disassembly-flavor intel (рис. 10)</w:t>
      </w:r>
    </w:p>
    <w:p>
      <w:pPr>
        <w:pStyle w:val="CaptionedFigure"/>
      </w:pPr>
      <w:r>
        <w:drawing>
          <wp:inline>
            <wp:extent cx="3733800" cy="1774991"/>
            <wp:effectExtent b="0" l="0" r="0" t="0"/>
            <wp:docPr descr="Рис. 10: Переключение на Intel’ский синтаксис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4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Переключение на Intel’ский синтаксис</w:t>
      </w:r>
    </w:p>
    <w:p>
      <w:pPr>
        <w:pStyle w:val="BodyText"/>
      </w:pPr>
      <w:r>
        <w:t xml:space="preserve">Отличия заключаются в том, что в режиме ATT используются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перед перед</w:t>
      </w:r>
      <w:r>
        <w:t xml:space="preserve"> </w:t>
      </w:r>
      <w:r>
        <w:t xml:space="preserve">именами регистров и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перед именами операндов, а в режиме Intel используется обычный синтаксис.</w:t>
      </w:r>
      <w:r>
        <w:t xml:space="preserve"> </w:t>
      </w:r>
      <w:r>
        <w:t xml:space="preserve">Включаю режим псевдографики для более удобного анализа программы(рис. 11)</w:t>
      </w:r>
    </w:p>
    <w:p>
      <w:pPr>
        <w:pStyle w:val="CaptionedFigure"/>
      </w:pPr>
      <w:r>
        <w:drawing>
          <wp:inline>
            <wp:extent cx="3733800" cy="2095278"/>
            <wp:effectExtent b="0" l="0" r="0" t="0"/>
            <wp:docPr descr="Рис. 11: Включение режима псевдографики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52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Включение режима псевдографики</w:t>
      </w:r>
    </w:p>
    <w:p>
      <w:pPr>
        <w:pStyle w:val="BodyText"/>
      </w:pPr>
      <w:r>
        <w:t xml:space="preserve">Добавление точек останова</w:t>
      </w:r>
      <w:r>
        <w:t xml:space="preserve"> </w:t>
      </w:r>
      <w:r>
        <w:t xml:space="preserve">Проверяю точку останова по имени метки (рис. 12)</w:t>
      </w:r>
    </w:p>
    <w:p>
      <w:pPr>
        <w:pStyle w:val="CaptionedFigure"/>
      </w:pPr>
      <w:r>
        <w:drawing>
          <wp:inline>
            <wp:extent cx="3733800" cy="459432"/>
            <wp:effectExtent b="0" l="0" r="0" t="0"/>
            <wp:docPr descr="Рис. 12: Проверка точки останова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9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Проверка точки останова</w:t>
      </w:r>
    </w:p>
    <w:p>
      <w:pPr>
        <w:pStyle w:val="BodyText"/>
      </w:pPr>
      <w:r>
        <w:t xml:space="preserve">Определю адрес пердпоследней инструкции и устанавливаю точку останова.</w:t>
      </w:r>
      <w:r>
        <w:t xml:space="preserve"> </w:t>
      </w:r>
      <w:r>
        <w:t xml:space="preserve">Далее смотрю информацию о всех установленных точках останова (рис. 13)</w:t>
      </w:r>
    </w:p>
    <w:p>
      <w:pPr>
        <w:pStyle w:val="CaptionedFigure"/>
      </w:pPr>
      <w:r>
        <w:drawing>
          <wp:inline>
            <wp:extent cx="3733800" cy="3192669"/>
            <wp:effectExtent b="0" l="0" r="0" t="0"/>
            <wp:docPr descr="Рис. 13: Установка точки останова и её проверка" title="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2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Установка точки останова и её проверка</w:t>
      </w:r>
    </w:p>
    <w:p>
      <w:pPr>
        <w:pStyle w:val="BodyText"/>
      </w:pPr>
      <w:r>
        <w:t xml:space="preserve">Работа с данными программы в GDB</w:t>
      </w:r>
    </w:p>
    <w:p>
      <w:pPr>
        <w:pStyle w:val="BodyText"/>
      </w:pPr>
      <w:r>
        <w:t xml:space="preserve">Выполняю 5 инструкций с помощью команды stepi и слежу за изменением</w:t>
      </w:r>
      <w:r>
        <w:t xml:space="preserve"> </w:t>
      </w:r>
      <w:r>
        <w:t xml:space="preserve">регистров. (рис. 14) (рис. 15)</w:t>
      </w:r>
    </w:p>
    <w:p>
      <w:pPr>
        <w:pStyle w:val="CaptionedFigure"/>
      </w:pPr>
      <w:r>
        <w:drawing>
          <wp:inline>
            <wp:extent cx="3733800" cy="3874456"/>
            <wp:effectExtent b="0" l="0" r="0" t="0"/>
            <wp:docPr descr="Рис. 14: До использования комадны stepi" title="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74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До использования комадны stepi</w:t>
      </w:r>
    </w:p>
    <w:p>
      <w:pPr>
        <w:pStyle w:val="CaptionedFigure"/>
      </w:pPr>
      <w:r>
        <w:drawing>
          <wp:inline>
            <wp:extent cx="3733800" cy="3920812"/>
            <wp:effectExtent b="0" l="0" r="0" t="0"/>
            <wp:docPr descr="Рис. 15: После использования команды stepi" title="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20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После использования команды stepi</w:t>
      </w:r>
    </w:p>
    <w:p>
      <w:pPr>
        <w:pStyle w:val="BodyText"/>
      </w:pPr>
      <w:r>
        <w:t xml:space="preserve">Изменились регистры eax,ebx,ecx,edx</w:t>
      </w:r>
      <w:r>
        <w:t xml:space="preserve"> </w:t>
      </w:r>
      <w:r>
        <w:t xml:space="preserve">Просматриваю значение переменной msg1 по имени (рис. 16)</w:t>
      </w:r>
    </w:p>
    <w:p>
      <w:pPr>
        <w:pStyle w:val="CaptionedFigure"/>
      </w:pPr>
      <w:r>
        <w:drawing>
          <wp:inline>
            <wp:extent cx="3733800" cy="528793"/>
            <wp:effectExtent b="0" l="0" r="0" t="0"/>
            <wp:docPr descr="Рис. 16: Просмотр значения переменной msg1" title="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87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Просмотр значения переменной msg1</w:t>
      </w:r>
    </w:p>
    <w:p>
      <w:pPr>
        <w:pStyle w:val="BodyText"/>
      </w:pPr>
      <w:r>
        <w:t xml:space="preserve">Также просматриваю значение переменной msg2 (рис. 17)</w:t>
      </w:r>
    </w:p>
    <w:p>
      <w:pPr>
        <w:pStyle w:val="CaptionedFigure"/>
      </w:pPr>
      <w:r>
        <w:drawing>
          <wp:inline>
            <wp:extent cx="3733800" cy="278873"/>
            <wp:effectExtent b="0" l="0" r="0" t="0"/>
            <wp:docPr descr="Рис. 17: Просмотр значения переменной msg2" title="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значения переменной msg2</w:t>
      </w:r>
    </w:p>
    <w:p>
      <w:pPr>
        <w:pStyle w:val="BodyText"/>
      </w:pPr>
      <w:r>
        <w:t xml:space="preserve">Изменяю первый символ переменной msg1 (рис. 18)</w:t>
      </w:r>
    </w:p>
    <w:p>
      <w:pPr>
        <w:pStyle w:val="CaptionedFigure"/>
      </w:pPr>
      <w:r>
        <w:drawing>
          <wp:inline>
            <wp:extent cx="3733800" cy="278873"/>
            <wp:effectExtent b="0" l="0" r="0" t="0"/>
            <wp:docPr descr="Рис. 18: Изменение первого символа msg1" title="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Изменение первого символа msg1</w:t>
      </w:r>
    </w:p>
    <w:p>
      <w:pPr>
        <w:pStyle w:val="BodyText"/>
      </w:pPr>
      <w:r>
        <w:t xml:space="preserve">Изменяю первый символ переменной msg2. (рис. 19)</w:t>
      </w:r>
    </w:p>
    <w:p>
      <w:pPr>
        <w:pStyle w:val="CaptionedFigure"/>
      </w:pPr>
      <w:r>
        <w:drawing>
          <wp:inline>
            <wp:extent cx="3733800" cy="666196"/>
            <wp:effectExtent b="0" l="0" r="0" t="0"/>
            <wp:docPr descr="Рис. 19: Изменение первого символа переменной msg2" title="" id="78" name="Picture"/>
            <a:graphic>
              <a:graphicData uri="http://schemas.openxmlformats.org/drawingml/2006/picture">
                <pic:pic>
                  <pic:nvPicPr>
                    <pic:cNvPr descr="image/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6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Изменение первого символа переменной msg2</w:t>
      </w:r>
    </w:p>
    <w:p>
      <w:pPr>
        <w:pStyle w:val="BodyText"/>
      </w:pPr>
      <w:r>
        <w:t xml:space="preserve">Вывожу в различных форматах значение регистра ebx (рис. 20)</w:t>
      </w:r>
    </w:p>
    <w:p>
      <w:pPr>
        <w:pStyle w:val="CaptionedFigure"/>
      </w:pPr>
      <w:r>
        <w:drawing>
          <wp:inline>
            <wp:extent cx="3733800" cy="1208449"/>
            <wp:effectExtent b="0" l="0" r="0" t="0"/>
            <wp:docPr descr="Рис. 20: Вывод значений регистра ebx" title="" id="81" name="Picture"/>
            <a:graphic>
              <a:graphicData uri="http://schemas.openxmlformats.org/drawingml/2006/picture">
                <pic:pic>
                  <pic:nvPicPr>
                    <pic:cNvPr descr="image/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084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Вывод значений регистра ebx</w:t>
      </w:r>
    </w:p>
    <w:p>
      <w:pPr>
        <w:pStyle w:val="BodyText"/>
      </w:pPr>
      <w:r>
        <w:t xml:space="preserve">С помощью команды set изменяю значение регистра ebx(рис. 21)</w:t>
      </w:r>
    </w:p>
    <w:p>
      <w:pPr>
        <w:pStyle w:val="CaptionedFigure"/>
      </w:pPr>
      <w:r>
        <w:drawing>
          <wp:inline>
            <wp:extent cx="3733800" cy="2638188"/>
            <wp:effectExtent b="0" l="0" r="0" t="0"/>
            <wp:docPr descr="Рис. 21: Изменение значения регистра ebx" title="" id="84" name="Picture"/>
            <a:graphic>
              <a:graphicData uri="http://schemas.openxmlformats.org/drawingml/2006/picture">
                <pic:pic>
                  <pic:nvPicPr>
                    <pic:cNvPr descr="image/2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81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Изменение значения регистра ebx</w:t>
      </w:r>
    </w:p>
    <w:p>
      <w:pPr>
        <w:pStyle w:val="BodyText"/>
      </w:pPr>
      <w:r>
        <w:t xml:space="preserve">Обработка аргументов командной строки в GDB</w:t>
      </w:r>
    </w:p>
    <w:p>
      <w:pPr>
        <w:pStyle w:val="BodyText"/>
      </w:pPr>
      <w:r>
        <w:t xml:space="preserve">Копирую файл lab8-2.asm, созданный при выполнении лабораторной работы №8, с программой выводящей на экран аргументы командной строки (Листинг 8.2) в файл с именем lab09-3.asm (рис. 22)</w:t>
      </w:r>
    </w:p>
    <w:p>
      <w:pPr>
        <w:pStyle w:val="CaptionedFigure"/>
      </w:pPr>
      <w:r>
        <w:drawing>
          <wp:inline>
            <wp:extent cx="3733800" cy="446965"/>
            <wp:effectExtent b="0" l="0" r="0" t="0"/>
            <wp:docPr descr="Рис. 22: Копирование файла" title="" id="87" name="Picture"/>
            <a:graphic>
              <a:graphicData uri="http://schemas.openxmlformats.org/drawingml/2006/picture">
                <pic:pic>
                  <pic:nvPicPr>
                    <pic:cNvPr descr="image/2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69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Копирование файла</w:t>
      </w:r>
    </w:p>
    <w:p>
      <w:pPr>
        <w:pStyle w:val="BodyText"/>
      </w:pPr>
      <w:r>
        <w:t xml:space="preserve">Создаю исполняемый файл (рис. 23)</w:t>
      </w:r>
    </w:p>
    <w:p>
      <w:pPr>
        <w:pStyle w:val="CaptionedFigure"/>
      </w:pPr>
      <w:r>
        <w:drawing>
          <wp:inline>
            <wp:extent cx="3733800" cy="446965"/>
            <wp:effectExtent b="0" l="0" r="0" t="0"/>
            <wp:docPr descr="Рис. 23: Создание исполняемого файла" title="" id="90" name="Picture"/>
            <a:graphic>
              <a:graphicData uri="http://schemas.openxmlformats.org/drawingml/2006/picture">
                <pic:pic>
                  <pic:nvPicPr>
                    <pic:cNvPr descr="image/23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69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Создание исполняемого файла</w:t>
      </w:r>
    </w:p>
    <w:p>
      <w:pPr>
        <w:pStyle w:val="BodyText"/>
      </w:pPr>
      <w:r>
        <w:t xml:space="preserve">Загружаю исполняемый файл в отладчик, указав агрументы (рис. 24)</w:t>
      </w:r>
    </w:p>
    <w:p>
      <w:pPr>
        <w:pStyle w:val="CaptionedFigure"/>
      </w:pPr>
      <w:r>
        <w:drawing>
          <wp:inline>
            <wp:extent cx="3733800" cy="1891428"/>
            <wp:effectExtent b="0" l="0" r="0" t="0"/>
            <wp:docPr descr="Рис. 24: Загрузка исполняемого файла в отладчик" title="" id="93" name="Picture"/>
            <a:graphic>
              <a:graphicData uri="http://schemas.openxmlformats.org/drawingml/2006/picture">
                <pic:pic>
                  <pic:nvPicPr>
                    <pic:cNvPr descr="image/24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1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Загрузка исполняемого файла в отладчик</w:t>
      </w:r>
    </w:p>
    <w:p>
      <w:pPr>
        <w:pStyle w:val="BodyText"/>
      </w:pPr>
      <w:r>
        <w:t xml:space="preserve">Для начала устанавливаю точку останова перед первой инструкцией в программе и запускаю её (рис. 25)</w:t>
      </w:r>
    </w:p>
    <w:p>
      <w:pPr>
        <w:pStyle w:val="CaptionedFigure"/>
      </w:pPr>
      <w:r>
        <w:drawing>
          <wp:inline>
            <wp:extent cx="3733800" cy="1526224"/>
            <wp:effectExtent b="0" l="0" r="0" t="0"/>
            <wp:docPr descr="Рис. 25: Установка точки остановы" title="" id="96" name="Picture"/>
            <a:graphic>
              <a:graphicData uri="http://schemas.openxmlformats.org/drawingml/2006/picture">
                <pic:pic>
                  <pic:nvPicPr>
                    <pic:cNvPr descr="image/25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6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Установка точки остановы</w:t>
      </w:r>
    </w:p>
    <w:p>
      <w:pPr>
        <w:pStyle w:val="BodyText"/>
      </w:pPr>
      <w:r>
        <w:t xml:space="preserve">Просматриваю вершину стека, то есть число аргументов строки(включая имя программы) (рис. 26)</w:t>
      </w:r>
    </w:p>
    <w:p>
      <w:pPr>
        <w:pStyle w:val="CaptionedFigure"/>
      </w:pPr>
      <w:r>
        <w:drawing>
          <wp:inline>
            <wp:extent cx="3733800" cy="321597"/>
            <wp:effectExtent b="0" l="0" r="0" t="0"/>
            <wp:docPr descr="Рис. 26: Просмотр вершины стека" title="" id="99" name="Picture"/>
            <a:graphic>
              <a:graphicData uri="http://schemas.openxmlformats.org/drawingml/2006/picture">
                <pic:pic>
                  <pic:nvPicPr>
                    <pic:cNvPr descr="image/26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Просмотр вершины стека</w:t>
      </w:r>
    </w:p>
    <w:p>
      <w:pPr>
        <w:pStyle w:val="BodyText"/>
      </w:pPr>
      <w:r>
        <w:t xml:space="preserve">Просматриваю остальные позиции стека. (рис. 27)</w:t>
      </w:r>
    </w:p>
    <w:p>
      <w:pPr>
        <w:pStyle w:val="CaptionedFigure"/>
      </w:pPr>
      <w:r>
        <w:drawing>
          <wp:inline>
            <wp:extent cx="3733800" cy="1313643"/>
            <wp:effectExtent b="0" l="0" r="0" t="0"/>
            <wp:docPr descr="Рис. 27: Просмотр остальных позиций стека" title="" id="102" name="Picture"/>
            <a:graphic>
              <a:graphicData uri="http://schemas.openxmlformats.org/drawingml/2006/picture">
                <pic:pic>
                  <pic:nvPicPr>
                    <pic:cNvPr descr="image/27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13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Просмотр остальных позиций стека</w:t>
      </w:r>
    </w:p>
    <w:p>
      <w:pPr>
        <w:pStyle w:val="BodyText"/>
      </w:pPr>
      <w:r>
        <w:t xml:space="preserve">Шаг изменения адреа равен 4, потому что занчение регистра esp в стеке увели-</w:t>
      </w:r>
      <w:r>
        <w:t xml:space="preserve"> </w:t>
      </w:r>
      <w:r>
        <w:t xml:space="preserve">чивается на 4</w:t>
      </w:r>
    </w:p>
    <w:p>
      <w:pPr>
        <w:pStyle w:val="BodyText"/>
      </w:pPr>
      <w:r>
        <w:t xml:space="preserve">Задание для самостоятельной работы.</w:t>
      </w:r>
      <w:r>
        <w:t xml:space="preserve"> </w:t>
      </w:r>
      <w:r>
        <w:t xml:space="preserve">1. Открываю программу из лабораторной работы №8 и начинаю её редактировать (рис. 28)</w:t>
      </w:r>
    </w:p>
    <w:p>
      <w:pPr>
        <w:pStyle w:val="CaptionedFigure"/>
      </w:pPr>
      <w:r>
        <w:drawing>
          <wp:inline>
            <wp:extent cx="3733800" cy="2633611"/>
            <wp:effectExtent b="0" l="0" r="0" t="0"/>
            <wp:docPr descr="Рис. 28: Редактирование файла" title="" id="105" name="Picture"/>
            <a:graphic>
              <a:graphicData uri="http://schemas.openxmlformats.org/drawingml/2006/picture">
                <pic:pic>
                  <pic:nvPicPr>
                    <pic:cNvPr descr="image/28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3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Редактирование файла</w:t>
      </w:r>
    </w:p>
    <w:p>
      <w:pPr>
        <w:pStyle w:val="BodyText"/>
      </w:pPr>
      <w:r>
        <w:t xml:space="preserve">Создаю исполняемый файл и запускаю его, чтобы проверить работу программы (рис. 29)</w:t>
      </w:r>
    </w:p>
    <w:p>
      <w:pPr>
        <w:pStyle w:val="CaptionedFigure"/>
      </w:pPr>
      <w:r>
        <w:drawing>
          <wp:inline>
            <wp:extent cx="3733800" cy="695739"/>
            <wp:effectExtent b="0" l="0" r="0" t="0"/>
            <wp:docPr descr="Рис. 29: Запуск исполняемого файла" title="" id="108" name="Picture"/>
            <a:graphic>
              <a:graphicData uri="http://schemas.openxmlformats.org/drawingml/2006/picture">
                <pic:pic>
                  <pic:nvPicPr>
                    <pic:cNvPr descr="image/29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57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Запуск исполняемого файла</w:t>
      </w:r>
    </w:p>
    <w:p>
      <w:pPr>
        <w:pStyle w:val="BodyText"/>
      </w:pPr>
      <w:r>
        <w:t xml:space="preserve">Программа работает верно.</w:t>
      </w:r>
    </w:p>
    <w:p>
      <w:pPr>
        <w:pStyle w:val="BodyText"/>
      </w:pPr>
      <w:r>
        <w:t xml:space="preserve">Текст программы:</w:t>
      </w:r>
    </w:p>
    <w:p>
      <w:pPr>
        <w:pStyle w:val="BodyText"/>
      </w:pPr>
      <w:r>
        <w:t xml:space="preserve">%include</w:t>
      </w:r>
      <w:r>
        <w:t xml:space="preserve"> </w:t>
      </w:r>
      <w:r>
        <w:t xml:space="preserve">“</w:t>
      </w:r>
      <w:r>
        <w:t xml:space="preserve">in_out.asm</w:t>
      </w:r>
      <w:r>
        <w:t xml:space="preserve">”</w:t>
      </w:r>
    </w:p>
    <w:p>
      <w:pPr>
        <w:pStyle w:val="BodyText"/>
      </w:pPr>
      <w:r>
        <w:t xml:space="preserve">SECTION .data</w:t>
      </w:r>
    </w:p>
    <w:p>
      <w:pPr>
        <w:pStyle w:val="BodyText"/>
      </w:pPr>
      <w:r>
        <w:t xml:space="preserve">msg db</w:t>
      </w:r>
      <w:r>
        <w:t xml:space="preserve"> </w:t>
      </w:r>
      <w:r>
        <w:t xml:space="preserve">“</w:t>
      </w:r>
      <w:r>
        <w:t xml:space="preserve">Результат:</w:t>
      </w:r>
      <w:r>
        <w:t xml:space="preserve">”</w:t>
      </w:r>
      <w:r>
        <w:t xml:space="preserve">, 0</w:t>
      </w:r>
    </w:p>
    <w:p>
      <w:pPr>
        <w:pStyle w:val="BodyText"/>
      </w:pPr>
      <w:r>
        <w:t xml:space="preserve">SECTION .text</w:t>
      </w:r>
    </w:p>
    <w:p>
      <w:pPr>
        <w:pStyle w:val="BodyText"/>
      </w:pPr>
      <w:r>
        <w:t xml:space="preserve">global _start</w:t>
      </w:r>
    </w:p>
    <w:p>
      <w:pPr>
        <w:pStyle w:val="BodyText"/>
      </w:pPr>
      <w:r>
        <w:t xml:space="preserve">_start:</w:t>
      </w:r>
    </w:p>
    <w:p>
      <w:pPr>
        <w:pStyle w:val="BodyText"/>
      </w:pPr>
      <w:r>
        <w:t xml:space="preserve">pop ecx</w:t>
      </w:r>
    </w:p>
    <w:p>
      <w:pPr>
        <w:pStyle w:val="BodyText"/>
      </w:pPr>
      <w:r>
        <w:t xml:space="preserve">pop edx</w:t>
      </w:r>
    </w:p>
    <w:p>
      <w:pPr>
        <w:pStyle w:val="BodyText"/>
      </w:pPr>
      <w:r>
        <w:t xml:space="preserve">sub ecx, 1</w:t>
      </w:r>
    </w:p>
    <w:p>
      <w:pPr>
        <w:pStyle w:val="BodyText"/>
      </w:pPr>
      <w:r>
        <w:t xml:space="preserve">mov esi, 0</w:t>
      </w:r>
    </w:p>
    <w:p>
      <w:pPr>
        <w:pStyle w:val="BodyText"/>
      </w:pPr>
      <w:r>
        <w:t xml:space="preserve">mov edi, 7</w:t>
      </w:r>
    </w:p>
    <w:p>
      <w:pPr>
        <w:pStyle w:val="BodyText"/>
      </w:pPr>
      <w:r>
        <w:t xml:space="preserve">next:</w:t>
      </w:r>
    </w:p>
    <w:p>
      <w:pPr>
        <w:pStyle w:val="BodyText"/>
      </w:pPr>
      <w:r>
        <w:t xml:space="preserve">cmp ecx, 0</w:t>
      </w:r>
    </w:p>
    <w:p>
      <w:pPr>
        <w:pStyle w:val="BodyText"/>
      </w:pPr>
      <w:r>
        <w:t xml:space="preserve">jz _end</w:t>
      </w:r>
    </w:p>
    <w:p>
      <w:pPr>
        <w:pStyle w:val="BodyText"/>
      </w:pPr>
      <w:r>
        <w:t xml:space="preserve">pop eax</w:t>
      </w:r>
    </w:p>
    <w:p>
      <w:pPr>
        <w:pStyle w:val="BodyText"/>
      </w:pPr>
      <w:r>
        <w:t xml:space="preserve">call atoi</w:t>
      </w:r>
    </w:p>
    <w:p>
      <w:pPr>
        <w:pStyle w:val="BodyText"/>
      </w:pPr>
      <w:r>
        <w:t xml:space="preserve">call _f</w:t>
      </w:r>
    </w:p>
    <w:p>
      <w:pPr>
        <w:pStyle w:val="BodyText"/>
      </w:pPr>
      <w:r>
        <w:t xml:space="preserve">add esi, eax</w:t>
      </w:r>
    </w:p>
    <w:p>
      <w:pPr>
        <w:pStyle w:val="BodyText"/>
      </w:pPr>
      <w:r>
        <w:t xml:space="preserve">loop next</w:t>
      </w:r>
    </w:p>
    <w:p>
      <w:pPr>
        <w:pStyle w:val="BodyText"/>
      </w:pPr>
      <w:r>
        <w:t xml:space="preserve">_end:</w:t>
      </w:r>
    </w:p>
    <w:p>
      <w:pPr>
        <w:pStyle w:val="BodyText"/>
      </w:pPr>
      <w:r>
        <w:t xml:space="preserve">mov eax, msg</w:t>
      </w:r>
    </w:p>
    <w:p>
      <w:pPr>
        <w:pStyle w:val="BodyText"/>
      </w:pPr>
      <w:r>
        <w:t xml:space="preserve">call sprint</w:t>
      </w:r>
    </w:p>
    <w:p>
      <w:pPr>
        <w:pStyle w:val="BodyText"/>
      </w:pPr>
      <w:r>
        <w:t xml:space="preserve">mov eax, esi</w:t>
      </w:r>
    </w:p>
    <w:p>
      <w:pPr>
        <w:pStyle w:val="BodyText"/>
      </w:pPr>
      <w:r>
        <w:t xml:space="preserve">call iprintLF</w:t>
      </w:r>
    </w:p>
    <w:p>
      <w:pPr>
        <w:pStyle w:val="BodyText"/>
      </w:pPr>
      <w:r>
        <w:t xml:space="preserve">call quit</w:t>
      </w:r>
    </w:p>
    <w:p>
      <w:pPr>
        <w:pStyle w:val="BodyText"/>
      </w:pPr>
      <w:r>
        <w:t xml:space="preserve">_f:</w:t>
      </w:r>
    </w:p>
    <w:p>
      <w:pPr>
        <w:pStyle w:val="BodyText"/>
      </w:pPr>
      <w:r>
        <w:t xml:space="preserve">inc eax</w:t>
      </w:r>
    </w:p>
    <w:p>
      <w:pPr>
        <w:pStyle w:val="BodyText"/>
      </w:pPr>
      <w:r>
        <w:t xml:space="preserve">mul edi</w:t>
      </w:r>
    </w:p>
    <w:p>
      <w:pPr>
        <w:pStyle w:val="BodyText"/>
      </w:pPr>
      <w:r>
        <w:t xml:space="preserve">ret</w:t>
      </w:r>
    </w:p>
    <w:p>
      <w:pPr>
        <w:numPr>
          <w:ilvl w:val="0"/>
          <w:numId w:val="1002"/>
        </w:numPr>
        <w:pStyle w:val="Compact"/>
      </w:pPr>
      <w:r>
        <w:t xml:space="preserve">Создаю файл и ввожу туда текст программы из листинга 9.3 (рис. 30)</w:t>
      </w:r>
    </w:p>
    <w:p>
      <w:pPr>
        <w:pStyle w:val="CaptionedFigure"/>
      </w:pPr>
      <w:r>
        <w:drawing>
          <wp:inline>
            <wp:extent cx="3733800" cy="2147616"/>
            <wp:effectExtent b="0" l="0" r="0" t="0"/>
            <wp:docPr descr="Рис. 30: Редактирование файла" title="" id="111" name="Picture"/>
            <a:graphic>
              <a:graphicData uri="http://schemas.openxmlformats.org/drawingml/2006/picture">
                <pic:pic>
                  <pic:nvPicPr>
                    <pic:cNvPr descr="image/30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7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Редактирование файла</w:t>
      </w:r>
    </w:p>
    <w:p>
      <w:pPr>
        <w:pStyle w:val="BodyText"/>
      </w:pPr>
      <w:r>
        <w:t xml:space="preserve">Создаю исполняемый файл и запускаю его, чтобы проверить работу программы (рис. 31)</w:t>
      </w:r>
    </w:p>
    <w:p>
      <w:pPr>
        <w:pStyle w:val="CaptionedFigure"/>
      </w:pPr>
      <w:r>
        <w:drawing>
          <wp:inline>
            <wp:extent cx="3733800" cy="468769"/>
            <wp:effectExtent b="0" l="0" r="0" t="0"/>
            <wp:docPr descr="Рис. 31: Запуск исполняемого файла" title="" id="114" name="Picture"/>
            <a:graphic>
              <a:graphicData uri="http://schemas.openxmlformats.org/drawingml/2006/picture">
                <pic:pic>
                  <pic:nvPicPr>
                    <pic:cNvPr descr="image/31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8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Запуск исполняемого файла</w:t>
      </w:r>
    </w:p>
    <w:p>
      <w:pPr>
        <w:pStyle w:val="BodyText"/>
      </w:pPr>
      <w:r>
        <w:t xml:space="preserve">Убеждаюсь, что программа работает неверно.</w:t>
      </w:r>
    </w:p>
    <w:p>
      <w:pPr>
        <w:pStyle w:val="BodyText"/>
      </w:pPr>
      <w:r>
        <w:t xml:space="preserve">Создаю исполняемый файл для работы с GDB и запускаю его через режим отладки. Создаю брейкпойнт и пошагово просматириваю программу (рис. 32)</w:t>
      </w:r>
    </w:p>
    <w:p>
      <w:pPr>
        <w:pStyle w:val="CaptionedFigure"/>
      </w:pPr>
      <w:r>
        <w:drawing>
          <wp:inline>
            <wp:extent cx="3733800" cy="2294829"/>
            <wp:effectExtent b="0" l="0" r="0" t="0"/>
            <wp:docPr descr="Рис. 32: Просмотр программы" title="" id="117" name="Picture"/>
            <a:graphic>
              <a:graphicData uri="http://schemas.openxmlformats.org/drawingml/2006/picture">
                <pic:pic>
                  <pic:nvPicPr>
                    <pic:cNvPr descr="image/32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4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Просмотр программы</w:t>
      </w:r>
    </w:p>
    <w:p>
      <w:pPr>
        <w:pStyle w:val="BodyText"/>
      </w:pPr>
      <w:r>
        <w:t xml:space="preserve">Замечаю, что после выполнения инструкции mul программы умножент 4 на 2 на не на 5, как должно быть.Из-за этого программа выдает неверный результат.</w:t>
      </w:r>
    </w:p>
    <w:p>
      <w:pPr>
        <w:pStyle w:val="BodyText"/>
      </w:pPr>
      <w:r>
        <w:t xml:space="preserve">Далле открываю файл с программой и исправляю ошибку (рис. 33)</w:t>
      </w:r>
    </w:p>
    <w:p>
      <w:pPr>
        <w:pStyle w:val="CaptionedFigure"/>
      </w:pPr>
      <w:r>
        <w:drawing>
          <wp:inline>
            <wp:extent cx="3733800" cy="2322737"/>
            <wp:effectExtent b="0" l="0" r="0" t="0"/>
            <wp:docPr descr="Рис. 33: Редактирование программы" title="" id="120" name="Picture"/>
            <a:graphic>
              <a:graphicData uri="http://schemas.openxmlformats.org/drawingml/2006/picture">
                <pic:pic>
                  <pic:nvPicPr>
                    <pic:cNvPr descr="image/33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27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Редактирование программы</w:t>
      </w:r>
    </w:p>
    <w:p>
      <w:pPr>
        <w:pStyle w:val="BodyText"/>
      </w:pPr>
      <w:r>
        <w:t xml:space="preserve">Создаю исполняемый файл и запускаю его, чтобы проверить работу программы (рис. 34)</w:t>
      </w:r>
    </w:p>
    <w:p>
      <w:pPr>
        <w:pStyle w:val="CaptionedFigure"/>
      </w:pPr>
      <w:r>
        <w:drawing>
          <wp:inline>
            <wp:extent cx="3733800" cy="598548"/>
            <wp:effectExtent b="0" l="0" r="0" t="0"/>
            <wp:docPr descr="Рис. 34: Запуск исполняемого файла" title="" id="123" name="Picture"/>
            <a:graphic>
              <a:graphicData uri="http://schemas.openxmlformats.org/drawingml/2006/picture">
                <pic:pic>
                  <pic:nvPicPr>
                    <pic:cNvPr descr="image/34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85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Запуск исполняемого файла</w:t>
      </w:r>
    </w:p>
    <w:p>
      <w:pPr>
        <w:pStyle w:val="BodyText"/>
      </w:pPr>
      <w:r>
        <w:t xml:space="preserve">Теперь программа работает верно.</w:t>
      </w:r>
    </w:p>
    <w:p>
      <w:pPr>
        <w:pStyle w:val="BodyText"/>
      </w:pPr>
      <w:r>
        <w:t xml:space="preserve">Текст программы:</w:t>
      </w:r>
    </w:p>
    <w:p>
      <w:pPr>
        <w:pStyle w:val="BodyText"/>
      </w:pPr>
      <w:r>
        <w:t xml:space="preserve">%include</w:t>
      </w:r>
      <w:r>
        <w:t xml:space="preserve"> </w:t>
      </w:r>
      <w:r>
        <w:t xml:space="preserve">‘</w:t>
      </w:r>
      <w:r>
        <w:t xml:space="preserve">in_out.asm</w:t>
      </w:r>
      <w:r>
        <w:t xml:space="preserve">’</w:t>
      </w:r>
    </w:p>
    <w:p>
      <w:pPr>
        <w:pStyle w:val="BodyText"/>
      </w:pPr>
      <w:r>
        <w:t xml:space="preserve">SECTION .data</w:t>
      </w:r>
    </w:p>
    <w:p>
      <w:pPr>
        <w:pStyle w:val="BodyText"/>
      </w:pPr>
      <w:r>
        <w:t xml:space="preserve">div: DB</w:t>
      </w:r>
      <w:r>
        <w:t xml:space="preserve"> </w:t>
      </w:r>
      <w:r>
        <w:t xml:space="preserve">‘</w:t>
      </w:r>
      <w:r>
        <w:t xml:space="preserve">Результат:</w:t>
      </w:r>
      <w:r>
        <w:t xml:space="preserve">’</w:t>
      </w:r>
      <w:r>
        <w:t xml:space="preserve">,0</w:t>
      </w:r>
    </w:p>
    <w:p>
      <w:pPr>
        <w:pStyle w:val="BodyText"/>
      </w:pPr>
      <w:r>
        <w:t xml:space="preserve">SECTION .text</w:t>
      </w:r>
    </w:p>
    <w:p>
      <w:pPr>
        <w:pStyle w:val="BodyText"/>
      </w:pPr>
      <w:r>
        <w:t xml:space="preserve">GLOBAL _start</w:t>
      </w:r>
    </w:p>
    <w:p>
      <w:pPr>
        <w:pStyle w:val="BodyText"/>
      </w:pPr>
      <w:r>
        <w:t xml:space="preserve">_start:</w:t>
      </w:r>
    </w:p>
    <w:p>
      <w:pPr>
        <w:pStyle w:val="BodyText"/>
      </w:pPr>
      <w:r>
        <w:t xml:space="preserve">; —- Вычисление выражения (3+2)*4+5</w:t>
      </w:r>
    </w:p>
    <w:p>
      <w:pPr>
        <w:pStyle w:val="BodyText"/>
      </w:pPr>
      <w:r>
        <w:t xml:space="preserve">mov ebx,3</w:t>
      </w:r>
    </w:p>
    <w:p>
      <w:pPr>
        <w:pStyle w:val="BodyText"/>
      </w:pPr>
      <w:r>
        <w:t xml:space="preserve">mov eax,2</w:t>
      </w:r>
    </w:p>
    <w:p>
      <w:pPr>
        <w:pStyle w:val="BodyText"/>
      </w:pPr>
      <w:r>
        <w:t xml:space="preserve">add eax,ebx</w:t>
      </w:r>
    </w:p>
    <w:p>
      <w:pPr>
        <w:pStyle w:val="BodyText"/>
      </w:pPr>
      <w:r>
        <w:t xml:space="preserve">mov ecx,4</w:t>
      </w:r>
    </w:p>
    <w:p>
      <w:pPr>
        <w:pStyle w:val="BodyText"/>
      </w:pPr>
      <w:r>
        <w:t xml:space="preserve">mul ecx</w:t>
      </w:r>
    </w:p>
    <w:p>
      <w:pPr>
        <w:pStyle w:val="BodyText"/>
      </w:pPr>
      <w:r>
        <w:t xml:space="preserve">add eax,5</w:t>
      </w:r>
    </w:p>
    <w:p>
      <w:pPr>
        <w:pStyle w:val="BodyText"/>
      </w:pPr>
      <w:r>
        <w:t xml:space="preserve">mov edi,eax</w:t>
      </w:r>
    </w:p>
    <w:p>
      <w:pPr>
        <w:pStyle w:val="BodyText"/>
      </w:pPr>
      <w:r>
        <w:t xml:space="preserve">; —- Вывод результата на экран</w:t>
      </w:r>
    </w:p>
    <w:p>
      <w:pPr>
        <w:pStyle w:val="BodyText"/>
      </w:pPr>
      <w:r>
        <w:t xml:space="preserve">mov eax,div</w:t>
      </w:r>
    </w:p>
    <w:p>
      <w:pPr>
        <w:pStyle w:val="BodyText"/>
      </w:pPr>
      <w:r>
        <w:t xml:space="preserve">call sprint</w:t>
      </w:r>
    </w:p>
    <w:p>
      <w:pPr>
        <w:pStyle w:val="BodyText"/>
      </w:pPr>
      <w:r>
        <w:t xml:space="preserve">mov eax,edi</w:t>
      </w:r>
    </w:p>
    <w:p>
      <w:pPr>
        <w:pStyle w:val="BodyText"/>
      </w:pPr>
      <w:r>
        <w:t xml:space="preserve">call iprintLF</w:t>
      </w:r>
    </w:p>
    <w:p>
      <w:pPr>
        <w:pStyle w:val="BodyText"/>
      </w:pPr>
      <w:r>
        <w:t xml:space="preserve">call quit</w:t>
      </w:r>
    </w:p>
    <w:bookmarkEnd w:id="125"/>
    <w:bookmarkStart w:id="12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После выполнения данной лабораторной работы я приобрелa навыки написания программ с использование подпрограмм и познакомилась с методами отладки при помощи GDB и его основными возможностями.</w:t>
      </w:r>
    </w:p>
    <w:bookmarkEnd w:id="126"/>
    <w:bookmarkStart w:id="128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3"/>
        </w:numPr>
        <w:pStyle w:val="Compact"/>
      </w:pPr>
      <w:r>
        <w:t xml:space="preserve">GDB: The GNU Project Debugger. — URL: https://www.gnu.org/software/gdb/.</w:t>
      </w:r>
    </w:p>
    <w:p>
      <w:pPr>
        <w:numPr>
          <w:ilvl w:val="0"/>
          <w:numId w:val="1003"/>
        </w:numPr>
        <w:pStyle w:val="Compact"/>
      </w:pPr>
      <w:r>
        <w:t xml:space="preserve">GNU Bash Manual. — 2016. — URL: https://www.gnu.org/software/bash/manual/.</w:t>
      </w:r>
    </w:p>
    <w:p>
      <w:pPr>
        <w:numPr>
          <w:ilvl w:val="0"/>
          <w:numId w:val="1003"/>
        </w:numPr>
        <w:pStyle w:val="Compact"/>
      </w:pPr>
      <w:r>
        <w:t xml:space="preserve">Midnight Commander Development Center. — 2021. — URL: https://midnight-commander.</w:t>
      </w:r>
      <w:r>
        <w:t xml:space="preserve"> </w:t>
      </w:r>
      <w:r>
        <w:t xml:space="preserve">org/.</w:t>
      </w:r>
    </w:p>
    <w:p>
      <w:pPr>
        <w:numPr>
          <w:ilvl w:val="0"/>
          <w:numId w:val="1003"/>
        </w:numPr>
        <w:pStyle w:val="Compact"/>
      </w:pPr>
      <w:r>
        <w:t xml:space="preserve">NASM Assembly Language Tutorials. — 2021. — URL: https://asmtutor.com/.</w:t>
      </w:r>
    </w:p>
    <w:p>
      <w:pPr>
        <w:numPr>
          <w:ilvl w:val="0"/>
          <w:numId w:val="1003"/>
        </w:numPr>
        <w:pStyle w:val="Compact"/>
      </w:pPr>
      <w:r>
        <w:t xml:space="preserve">Newham C. Learning the bash Shell: Unix Shell Programming. — O’Reilly Media, 2005. —</w:t>
      </w:r>
      <w:r>
        <w:t xml:space="preserve"> </w:t>
      </w:r>
      <w:r>
        <w:t xml:space="preserve">354 с. — (In a Nutshell). — ISBN 0596009658. — URL: http://www.amazon.com/Learningbash-Shell-Programming-Nutshell/dp/0596009658.</w:t>
      </w:r>
    </w:p>
    <w:p>
      <w:pPr>
        <w:numPr>
          <w:ilvl w:val="0"/>
          <w:numId w:val="1003"/>
        </w:numPr>
        <w:pStyle w:val="Compact"/>
      </w:pPr>
      <w:r>
        <w:t xml:space="preserve">Robbins A. Bash Pocket Reference. — O’Reilly Media, 2016. — 156 с. — ISBN 978-1491941591.</w:t>
      </w:r>
    </w:p>
    <w:p>
      <w:pPr>
        <w:numPr>
          <w:ilvl w:val="0"/>
          <w:numId w:val="1003"/>
        </w:numPr>
        <w:pStyle w:val="Compact"/>
      </w:pPr>
      <w:r>
        <w:t xml:space="preserve">The NASM documentation. — 2021. — URL: https://www.nasm.us/docs.php.</w:t>
      </w:r>
    </w:p>
    <w:p>
      <w:pPr>
        <w:numPr>
          <w:ilvl w:val="0"/>
          <w:numId w:val="1003"/>
        </w:numPr>
        <w:pStyle w:val="Compact"/>
      </w:pPr>
      <w:r>
        <w:t xml:space="preserve">Zarrelli G. Mastering Bash. — Packt Publishing, 2017. — 502 с. — ISBN 9781784396879.</w:t>
      </w:r>
    </w:p>
    <w:p>
      <w:pPr>
        <w:numPr>
          <w:ilvl w:val="0"/>
          <w:numId w:val="1003"/>
        </w:numPr>
        <w:pStyle w:val="Compact"/>
      </w:pPr>
      <w:r>
        <w:t xml:space="preserve">Колдаев В. Д., Лупин С. А. Архитектура ЭВМ. — М. : Форум, 2018.</w:t>
      </w:r>
    </w:p>
    <w:p>
      <w:pPr>
        <w:numPr>
          <w:ilvl w:val="0"/>
          <w:numId w:val="1003"/>
        </w:numPr>
        <w:pStyle w:val="Compact"/>
      </w:pPr>
      <w:r>
        <w:t xml:space="preserve">Куляс О. Л., Никитин К. А. Курс программирования на ASSEMBLER. — М. : Солон-Пресс,</w:t>
      </w:r>
    </w:p>
    <w:p>
      <w:pPr>
        <w:numPr>
          <w:ilvl w:val="0"/>
          <w:numId w:val="1003"/>
        </w:numPr>
        <w:pStyle w:val="Compact"/>
      </w:pPr>
      <w:r>
        <w:t xml:space="preserve">Новожилов О. П. Архитектура ЭВМ и систем. — М. : Юрайт, 2016.</w:t>
      </w:r>
    </w:p>
    <w:p>
      <w:pPr>
        <w:numPr>
          <w:ilvl w:val="0"/>
          <w:numId w:val="1003"/>
        </w:numPr>
        <w:pStyle w:val="Compact"/>
      </w:pPr>
      <w:r>
        <w:t xml:space="preserve">Расширенный ассемблер: NASM. — 2021. — URL: https://www.opennet.ru/docs/RUS/nasm/.</w:t>
      </w:r>
    </w:p>
    <w:p>
      <w:pPr>
        <w:numPr>
          <w:ilvl w:val="0"/>
          <w:numId w:val="1003"/>
        </w:numPr>
        <w:pStyle w:val="Compact"/>
      </w:pPr>
      <w:r>
        <w:t xml:space="preserve">Робачевский А., Немнюгин С., Стесик О. Операционная система UNIX. — 2-е изд. — БХВПетербург, 2010. — 656 с. — ISBN 978-5-94157-538-1.</w:t>
      </w:r>
    </w:p>
    <w:p>
      <w:pPr>
        <w:numPr>
          <w:ilvl w:val="0"/>
          <w:numId w:val="1003"/>
        </w:numPr>
        <w:pStyle w:val="Compact"/>
      </w:pPr>
      <w:r>
        <w:t xml:space="preserve">Столяров А. Программирование на языке ассемблера NASM для ОС Unix. — 2-е изд. —</w:t>
      </w:r>
      <w:r>
        <w:t xml:space="preserve"> </w:t>
      </w:r>
      <w:r>
        <w:t xml:space="preserve">М. : МАКС Пресс, 2011. — URL: http://www.stolyarov.info/books/asm_unix.</w:t>
      </w:r>
    </w:p>
    <w:p>
      <w:pPr>
        <w:numPr>
          <w:ilvl w:val="0"/>
          <w:numId w:val="1003"/>
        </w:numPr>
        <w:pStyle w:val="Compact"/>
      </w:pPr>
      <w:r>
        <w:t xml:space="preserve">Таненбаум Э. Архитектура компьютера. — 6-е изд. — СПб. : Питер, 2013. — 874 с. —</w:t>
      </w:r>
      <w:r>
        <w:t xml:space="preserve"> </w:t>
      </w:r>
      <w:r>
        <w:t xml:space="preserve">(Классика Computer Science).</w:t>
      </w:r>
    </w:p>
    <w:p>
      <w:pPr>
        <w:numPr>
          <w:ilvl w:val="0"/>
          <w:numId w:val="1003"/>
        </w:numPr>
        <w:pStyle w:val="Compact"/>
      </w:pPr>
      <w:r>
        <w:t xml:space="preserve">Таненбаум Э., Бос Х. Современные операционные системы. — 4-е изд. — СПб. : Питер,</w:t>
      </w:r>
    </w:p>
    <w:p>
      <w:pPr>
        <w:numPr>
          <w:ilvl w:val="0"/>
          <w:numId w:val="1003"/>
        </w:numPr>
        <w:pStyle w:val="Compact"/>
      </w:pPr>
      <w:r>
        <w:t xml:space="preserve">— 1120 с. — (Классика Computer Science).</w:t>
      </w:r>
    </w:p>
    <w:bookmarkStart w:id="127" w:name="refs"/>
    <w:bookmarkEnd w:id="127"/>
    <w:bookmarkEnd w:id="12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26" Target="media/rId26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107" Target="media/rId107.png" /><Relationship Type="http://schemas.openxmlformats.org/officeDocument/2006/relationships/image" Id="rId29" Target="media/rId29.png" /><Relationship Type="http://schemas.openxmlformats.org/officeDocument/2006/relationships/image" Id="rId110" Target="media/rId110.png" /><Relationship Type="http://schemas.openxmlformats.org/officeDocument/2006/relationships/image" Id="rId113" Target="media/rId113.png" /><Relationship Type="http://schemas.openxmlformats.org/officeDocument/2006/relationships/image" Id="rId116" Target="media/rId116.png" /><Relationship Type="http://schemas.openxmlformats.org/officeDocument/2006/relationships/image" Id="rId119" Target="media/rId119.png" /><Relationship Type="http://schemas.openxmlformats.org/officeDocument/2006/relationships/image" Id="rId122" Target="media/rId122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Репкина Елизавета Андреевна</dc:creator>
  <dc:language>ru-RU</dc:language>
  <cp:keywords/>
  <dcterms:created xsi:type="dcterms:W3CDTF">2024-11-15T23:45:45Z</dcterms:created>
  <dcterms:modified xsi:type="dcterms:W3CDTF">2024-11-15T23:45:45Z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Дисциплина: архитектура компьютера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