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</w:t>
      </w:r>
    </w:p>
    <w:p>
      <w:pPr>
        <w:pStyle w:val="Subtitle"/>
      </w:pPr>
      <w:r>
        <w:t xml:space="preserve">Раздел 3. Криптография на практике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Прохождение внешнего курса</w:t>
      </w:r>
      <w:r>
        <w:t xml:space="preserve"> </w:t>
      </w:r>
      <w:r>
        <w:t xml:space="preserve">“Основы кибербезопасности”</w:t>
      </w:r>
      <w:r>
        <w:t xml:space="preserve">. Получение знаний в сфере кибербезопасности.</w:t>
      </w:r>
    </w:p>
    <w:bookmarkEnd w:id="20"/>
    <w:bookmarkStart w:id="85" w:name="прохождение-раздела"/>
    <w:p>
      <w:pPr>
        <w:pStyle w:val="Heading1"/>
      </w:pPr>
      <w:r>
        <w:t xml:space="preserve">2. Прохождение раздела</w:t>
      </w:r>
    </w:p>
    <w:p>
      <w:pPr>
        <w:pStyle w:val="FirstParagraph"/>
      </w:pPr>
      <w:r>
        <w:t xml:space="preserve">В ассиметричных криптографических примитивах обе стороны имеют пару ключей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1</w:t>
            </w:r>
          </w:p>
          <w:bookmarkEnd w:id="24"/>
        </w:tc>
      </w:tr>
    </w:tbl>
    <w:p>
      <w:pPr>
        <w:pStyle w:val="BodyText"/>
      </w:pPr>
      <w:r>
        <w:t xml:space="preserve">Криптографическая хэш-функция не обеспечивает конфиденциальность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2</w:t>
            </w:r>
          </w:p>
          <w:bookmarkEnd w:id="28"/>
        </w:tc>
      </w:tr>
    </w:tbl>
    <w:p>
      <w:pPr>
        <w:pStyle w:val="BodyText"/>
      </w:pPr>
      <w:r>
        <w:t xml:space="preserve">AES и SHA2 не относятся к алгоритмам цифровой подписи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Задание 3</w:t>
            </w:r>
          </w:p>
          <w:bookmarkEnd w:id="32"/>
        </w:tc>
      </w:tr>
    </w:tbl>
    <w:p>
      <w:pPr>
        <w:pStyle w:val="BodyText"/>
      </w:pPr>
      <w:r>
        <w:t xml:space="preserve">Код аутентификации сообщения-симметричный примитив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Задание 4</w:t>
            </w:r>
          </w:p>
          <w:bookmarkEnd w:id="36"/>
        </w:tc>
      </w:tr>
    </w:tbl>
    <w:p>
      <w:pPr>
        <w:pStyle w:val="BodyText"/>
      </w:pPr>
      <w:r>
        <w:t xml:space="preserve">Верное определение обмена ключам Дифии-Хэллмана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0"/>
        </w:tc>
      </w:tr>
    </w:tbl>
    <w:p>
      <w:pPr>
        <w:pStyle w:val="BodyText"/>
      </w:pPr>
      <w:r>
        <w:t xml:space="preserve">Протокол электронной подписи-протокол с откртым ключом(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4"/>
        </w:tc>
      </w:tr>
    </w:tbl>
    <w:p>
      <w:pPr>
        <w:pStyle w:val="BodyText"/>
      </w:pPr>
      <w:r>
        <w:t xml:space="preserve">Требуется подпись,откртый ключ, сообщение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7</w:t>
            </w:r>
          </w:p>
          <w:bookmarkEnd w:id="48"/>
        </w:tc>
      </w:tr>
    </w:tbl>
    <w:p>
      <w:pPr>
        <w:pStyle w:val="BodyText"/>
      </w:pPr>
      <w:r>
        <w:t xml:space="preserve">Электронная цифровая подпись не связана с конфиденциальностью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Задание 8</w:t>
            </w:r>
          </w:p>
          <w:bookmarkEnd w:id="52"/>
        </w:tc>
      </w:tr>
    </w:tbl>
    <w:p>
      <w:pPr>
        <w:pStyle w:val="BodyText"/>
      </w:pPr>
      <w:r>
        <w:t xml:space="preserve">Требуется использовать усиленную квалифицированная электронная подпись для ФНС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Задание 9</w:t>
            </w:r>
          </w:p>
          <w:bookmarkEnd w:id="56"/>
        </w:tc>
      </w:tr>
    </w:tbl>
    <w:p>
      <w:pPr>
        <w:pStyle w:val="BodyText"/>
      </w:pPr>
      <w:r>
        <w:t xml:space="preserve">Чертифицированный центр дает сертификат ключа для проверки эл. подписи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99860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Задание 10</w:t>
            </w:r>
          </w:p>
          <w:bookmarkEnd w:id="60"/>
        </w:tc>
      </w:tr>
    </w:tbl>
    <w:p>
      <w:pPr>
        <w:pStyle w:val="BodyText"/>
      </w:pPr>
      <w:r>
        <w:t xml:space="preserve">МастерКард и МИР являются платежными системами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12626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Задание 11</w:t>
            </w:r>
          </w:p>
          <w:bookmarkEnd w:id="64"/>
        </w:tc>
      </w:tr>
    </w:tbl>
    <w:p>
      <w:pPr>
        <w:pStyle w:val="BodyText"/>
      </w:pPr>
      <w:r>
        <w:t xml:space="preserve">верный ответ на вопрос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12626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Задание 12</w:t>
            </w:r>
          </w:p>
          <w:bookmarkEnd w:id="68"/>
        </w:tc>
      </w:tr>
    </w:tbl>
    <w:p>
      <w:pPr>
        <w:pStyle w:val="BodyText"/>
      </w:pPr>
      <w:r>
        <w:t xml:space="preserve">Сногофакторная аутентификация покупателя перед банком-эмитентом используется при онлайн платежах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12626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Задание 13</w:t>
            </w:r>
          </w:p>
          <w:bookmarkEnd w:id="72"/>
        </w:tc>
      </w:tr>
    </w:tbl>
    <w:p>
      <w:pPr>
        <w:pStyle w:val="BodyText"/>
      </w:pPr>
      <w:r>
        <w:t xml:space="preserve">Используется сложность нахождения прообраза(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12626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Задание 14</w:t>
            </w:r>
          </w:p>
          <w:bookmarkEnd w:id="76"/>
        </w:tc>
      </w:tr>
    </w:tbl>
    <w:p>
      <w:pPr>
        <w:pStyle w:val="BodyText"/>
      </w:pPr>
      <w:r>
        <w:t xml:space="preserve">Все ответы верны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12626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Задание 15</w:t>
            </w:r>
          </w:p>
          <w:bookmarkEnd w:id="80"/>
        </w:tc>
      </w:tr>
    </w:tbl>
    <w:p>
      <w:pPr>
        <w:pStyle w:val="BodyText"/>
      </w:pPr>
      <w:r>
        <w:t xml:space="preserve">Участники блокчейна хранят секретные ключи цифровой подписи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12626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Задание 16</w:t>
            </w:r>
          </w:p>
          <w:bookmarkEnd w:id="84"/>
        </w:tc>
      </w:tr>
    </w:tbl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прохождения 3 раздела курса я приобрела знания о блокчейне, цифровой подписи и об электронных платежахх</w:t>
      </w:r>
    </w:p>
    <w:bookmarkEnd w:id="86"/>
    <w:bookmarkStart w:id="88" w:name="список-литературы"/>
    <w:p>
      <w:pPr>
        <w:pStyle w:val="Heading1"/>
      </w:pPr>
      <w:r>
        <w:t xml:space="preserve">Список литературы</w:t>
      </w:r>
    </w:p>
    <w:bookmarkStart w:id="87" w:name="refs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</dc:title>
  <dc:creator>Репкина Елизавета Андреевна</dc:creator>
  <dc:language>ru-RU</dc:language>
  <cp:keywords/>
  <dcterms:created xsi:type="dcterms:W3CDTF">2026-04-30T18:18:35Z</dcterms:created>
  <dcterms:modified xsi:type="dcterms:W3CDTF">2026-04-30T18:18:35Z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Раздел 3. Криптография на практике</vt:lpwstr>
  </property>
  <property fmtid="{D5CDD505-2E9C-101B-9397-08002B2CF9AE}" pid="14" name="toc-title">
    <vt:lpwstr>Содержание</vt:lpwstr>
  </property>
</Properties>
</file>