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客户事故应急预案</w:t>
      </w:r>
    </w:p>
    <w:p>
      <w:pPr>
        <w:pStyle w:val="Heading1"/>
      </w:pPr>
      <w:r>
        <w:t>适用范围</w:t>
      </w:r>
    </w:p>
    <w:p>
      <w:r>
        <w:t>本文件适用于星桥云途全体正式员工及经批准的合作人员。</w:t>
      </w:r>
    </w:p>
    <w:p>
      <w:pPr>
        <w:pStyle w:val="Heading1"/>
      </w:pPr>
      <w:r>
        <w:t>核心规则</w:t>
      </w:r>
    </w:p>
    <w:p>
      <w:r>
        <w:t>P1事故须在15分钟内在应急群通报，并在2小时内向客户发送首次说明。</w:t>
      </w:r>
    </w:p>
    <w:p>
      <w:pPr>
        <w:pStyle w:val="Heading1"/>
      </w:pPr>
      <w:r>
        <w:t>执行说明</w:t>
      </w:r>
    </w:p>
    <w:p>
      <w:r>
        <w:t>如本文件与历史版本存在冲突，以文件标题中的最新年度版本为准。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