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项目交接指南</w:t>
      </w:r>
    </w:p>
    <w:p>
      <w:pPr>
        <w:pStyle w:val="Heading1"/>
      </w:pPr>
      <w:r>
        <w:t>适用范围</w:t>
      </w:r>
    </w:p>
    <w:p>
      <w:r>
        <w:t>本文件适用于星桥云途全体正式员工及经批准的合作人员。</w:t>
      </w:r>
    </w:p>
    <w:p>
      <w:pPr>
        <w:pStyle w:val="Heading1"/>
      </w:pPr>
      <w:r>
        <w:t>核心规则</w:t>
      </w:r>
    </w:p>
    <w:p>
      <w:r>
        <w:t>交接完成前必须移交代码仓库权限、部署文档、风险清单和客户联系人。</w:t>
      </w:r>
    </w:p>
    <w:p>
      <w:pPr>
        <w:pStyle w:val="Heading1"/>
      </w:pPr>
      <w:r>
        <w:t>执行说明</w:t>
      </w:r>
    </w:p>
    <w:p>
      <w:r>
        <w:t>如本文件与历史版本存在冲突，以文件标题中的最新年度版本为准。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YaHei" w:hAnsi="Microsoft YaHe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