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差旅管理制度（2025版）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国内出差的交通、住宿和餐补须在出差结束后十个自然日内报销。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