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采购申请流程</w:t>
      </w:r>
    </w:p>
    <w:p>
      <w:pPr>
        <w:pStyle w:val="Heading1"/>
      </w:pPr>
      <w:r>
        <w:t>适用范围</w:t>
      </w:r>
    </w:p>
    <w:p>
      <w:r>
        <w:t>本文件适用于星桥云途全体正式员工及经批准的合作人员。</w:t>
      </w:r>
    </w:p>
    <w:p>
      <w:pPr>
        <w:pStyle w:val="Heading1"/>
      </w:pPr>
      <w:r>
        <w:t>核心规则</w:t>
      </w:r>
    </w:p>
    <w:p>
      <w:r>
        <w:t>单笔采购金额超过五万元时，必须由财务负责人和总经理共同审批。</w:t>
      </w:r>
    </w:p>
    <w:p>
      <w:pPr>
        <w:pStyle w:val="Heading1"/>
      </w:pPr>
      <w:r>
        <w:t>执行说明</w:t>
      </w:r>
    </w:p>
    <w:p>
      <w:r>
        <w:t>如本文件与历史版本存在冲突，以文件标题中的最新年度版本为准。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