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差旅管理制度（2025版）</w:t>
      </w:r>
    </w:p>
    <w:p>
      <w:pPr>
        <w:pStyle w:val="Heading1"/>
      </w:pPr>
      <w:r>
        <w:t>适用范围</w:t>
      </w:r>
    </w:p>
    <w:p>
      <w:r>
        <w:t>本文件适用于星桥云途全体正式员工及经批准的合作人员。</w:t>
      </w:r>
    </w:p>
    <w:p>
      <w:pPr>
        <w:pStyle w:val="Heading1"/>
      </w:pPr>
      <w:r>
        <w:t>核心规则</w:t>
      </w:r>
    </w:p>
    <w:p>
      <w:r>
        <w:t>国内出差的交通、住宿和餐补须在出差结束后十个自然日内报销。</w:t>
      </w:r>
    </w:p>
    <w:p>
      <w:pPr>
        <w:pStyle w:val="Heading1"/>
      </w:pPr>
      <w:r>
        <w:t>执行说明</w:t>
      </w:r>
    </w:p>
    <w:p>
      <w:r>
        <w:t>如本文件与历史版本存在冲突，以文件标题中的最新年度版本为准。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