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7424C688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lang w:val="es-MX"/>
        </w:rPr>
      </w:pPr>
      <w:r w:rsidRPr="00CB57CC">
        <w:rPr>
          <w:rFonts w:ascii="Arial" w:hAnsi="Arial" w:cs="Arial"/>
          <w:b/>
          <w:spacing w:val="-1"/>
          <w:lang w:val="es-MX"/>
        </w:rPr>
        <w:t>Actividad 4: Diseño físico de redes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lang w:val="es-MX"/>
        </w:rPr>
        <w:t>sub-normas</w:t>
      </w:r>
      <w:proofErr w:type="spellEnd"/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lang w:val="es-MX"/>
        </w:rPr>
        <w:t>pins</w:t>
      </w:r>
      <w:proofErr w:type="spellEnd"/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77777777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100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  <w:lang w:val="es-MX"/>
        </w:rPr>
        <w:t>mts</w:t>
      </w:r>
      <w:proofErr w:type="spellEnd"/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proofErr w:type="spellEnd"/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proofErr w:type="spellEnd"/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6D2629C6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33ABF434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</w:t>
      </w:r>
      <w:proofErr w:type="spellEnd"/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proofErr w:type="spellEnd"/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3982C33C" w14:textId="77777777" w:rsidR="00550EEC" w:rsidRPr="00CB57CC" w:rsidRDefault="00550EEC">
      <w:pPr>
        <w:jc w:val="both"/>
        <w:rPr>
          <w:rFonts w:ascii="Arial" w:hAnsi="Arial" w:cs="Arial"/>
          <w:lang w:val="es-MX"/>
        </w:rPr>
        <w:sectPr w:rsidR="00550EEC" w:rsidRPr="00CB57CC" w:rsidSect="00CB57CC">
          <w:footerReference w:type="default" r:id="rId7"/>
          <w:pgSz w:w="12240" w:h="15840"/>
          <w:pgMar w:top="709" w:right="1080" w:bottom="1440" w:left="1080" w:header="720" w:footer="720" w:gutter="0"/>
          <w:cols w:space="720"/>
          <w:docGrid w:linePitch="299"/>
        </w:sectPr>
      </w:pP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9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8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150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(se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sugiere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realizar,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borde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mesas,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montado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superficial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 red).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proofErr w:type="spellEnd"/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2511F6CE" w14:textId="77777777" w:rsidR="00550EEC" w:rsidRPr="00CB57CC" w:rsidRDefault="00F77DED" w:rsidP="00CB57CC">
      <w:pPr>
        <w:pStyle w:val="Textoindependiente"/>
        <w:spacing w:line="360" w:lineRule="exact"/>
        <w:ind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C7E7A22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excel</w:t>
      </w:r>
      <w:proofErr w:type="spellEnd"/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MINI-JACK</w:t>
      </w:r>
      <w:r w:rsidRPr="00CB57CC">
        <w:rPr>
          <w:rFonts w:ascii="Arial" w:hAnsi="Arial" w:cs="Arial"/>
          <w:b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usas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canaleta</w:t>
      </w:r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race</w:t>
      </w:r>
      <w:proofErr w:type="spellEnd"/>
      <w:r w:rsidRPr="00CB57CC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  <w:lang w:val="es-MX"/>
        </w:rPr>
        <w:t>way</w:t>
      </w:r>
      <w:proofErr w:type="spellEnd"/>
      <w:r w:rsidRPr="00CB57CC">
        <w:rPr>
          <w:rFonts w:ascii="Arial" w:hAnsi="Arial" w:cs="Arial"/>
          <w:spacing w:val="-2"/>
          <w:sz w:val="22"/>
          <w:szCs w:val="22"/>
          <w:lang w:val="es-MX"/>
        </w:rPr>
        <w:t>),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accesorios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</w:p>
    <w:p w14:paraId="7B205ABE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346168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1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2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13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8327D5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4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8327D5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5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21C7" w14:textId="77777777" w:rsidR="008327D5" w:rsidRDefault="008327D5" w:rsidP="00CB57CC">
      <w:r>
        <w:separator/>
      </w:r>
    </w:p>
  </w:endnote>
  <w:endnote w:type="continuationSeparator" w:id="0">
    <w:p w14:paraId="60173D9F" w14:textId="77777777" w:rsidR="008327D5" w:rsidRDefault="008327D5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7B09" w14:textId="77777777" w:rsidR="008327D5" w:rsidRDefault="008327D5" w:rsidP="00CB57CC">
      <w:r>
        <w:separator/>
      </w:r>
    </w:p>
  </w:footnote>
  <w:footnote w:type="continuationSeparator" w:id="0">
    <w:p w14:paraId="409C1CBE" w14:textId="77777777" w:rsidR="008327D5" w:rsidRDefault="008327D5" w:rsidP="00CB5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214473"/>
    <w:rsid w:val="00550EEC"/>
    <w:rsid w:val="008327D5"/>
    <w:rsid w:val="00A5307D"/>
    <w:rsid w:val="00A63455"/>
    <w:rsid w:val="00CB57CC"/>
    <w:rsid w:val="00D930A7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haus.work/paquetes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www.forbes.com.mx/guia-forbes-de-coworking-todo-lo-que-necesitas-sabe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orbes.com.mx/guia-forbes-de-coworking-todo-lo-que-necesitas-sabe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anduit.com/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anix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5</cp:revision>
  <dcterms:created xsi:type="dcterms:W3CDTF">2022-01-25T23:33:00Z</dcterms:created>
  <dcterms:modified xsi:type="dcterms:W3CDTF">2022-01-26T23:32:00Z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