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87035" w:rsidRDefault="002D6C2A" w:rsidP="00FD4A68">
      <w:pPr>
        <w:pStyle w:val="LabTitle"/>
        <w:rPr>
          <w:rStyle w:val="LabTitleInstVersred"/>
          <w:b/>
          <w:color w:val="auto"/>
        </w:rPr>
      </w:pPr>
      <w:r w:rsidRPr="00A87035">
        <w:t xml:space="preserve">Práctica de laboratorio: Uso de la calculadora de Windows con direcciones de red </w:t>
      </w:r>
      <w:r w:rsidRPr="00A87035">
        <w:rPr>
          <w:rStyle w:val="LabTitleInstVersred"/>
        </w:rPr>
        <w:t>(versión para el instructor; práctica de laboratorio optativa)</w:t>
      </w:r>
    </w:p>
    <w:p w:rsidR="00C268D6" w:rsidRPr="00A87035" w:rsidRDefault="009A1CF4" w:rsidP="00945C68">
      <w:pPr>
        <w:pStyle w:val="InstNoteRed"/>
      </w:pPr>
      <w:r w:rsidRPr="00A87035">
        <w:rPr>
          <w:b/>
        </w:rPr>
        <w:t>Nota para el instructor</w:t>
      </w:r>
      <w:r w:rsidRPr="008A3C46">
        <w:rPr>
          <w:bCs/>
        </w:rPr>
        <w:t>:</w:t>
      </w:r>
      <w:r w:rsidRPr="00A87035">
        <w:t xml:space="preserve"> El color de fuente rojo o las partes resaltadas en gris indican texto que aparece en la copia del instructor solamente. Las actividades optativas están diseñadas para mejorar la comprensión o proporcionar más práctica.</w:t>
      </w:r>
    </w:p>
    <w:p w:rsidR="00B00B67" w:rsidRPr="00A87035" w:rsidRDefault="000302C1" w:rsidP="00B00B67">
      <w:pPr>
        <w:pStyle w:val="Visual"/>
      </w:pPr>
      <w:r w:rsidRPr="00A87035">
        <w:rPr>
          <w:noProof/>
          <w:lang w:val="en-US" w:eastAsia="zh-CN" w:bidi="ar-SA"/>
        </w:rPr>
        <w:drawing>
          <wp:inline distT="0" distB="0" distL="0" distR="0">
            <wp:extent cx="3655243" cy="3352800"/>
            <wp:effectExtent l="19050" t="0" r="2357" b="0"/>
            <wp:docPr id="3" name="Picture 1"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or"/>
                    <pic:cNvPicPr>
                      <a:picLocks noChangeAspect="1" noChangeArrowheads="1"/>
                    </pic:cNvPicPr>
                  </pic:nvPicPr>
                  <pic:blipFill>
                    <a:blip r:embed="rId8" cstate="print"/>
                    <a:stretch>
                      <a:fillRect/>
                    </a:stretch>
                  </pic:blipFill>
                  <pic:spPr bwMode="auto">
                    <a:xfrm>
                      <a:off x="0" y="0"/>
                      <a:ext cx="3655243" cy="3352800"/>
                    </a:xfrm>
                    <a:prstGeom prst="rect">
                      <a:avLst/>
                    </a:prstGeom>
                    <a:noFill/>
                    <a:ln>
                      <a:noFill/>
                    </a:ln>
                  </pic:spPr>
                </pic:pic>
              </a:graphicData>
            </a:graphic>
          </wp:inline>
        </w:drawing>
      </w:r>
    </w:p>
    <w:p w:rsidR="009D2C27" w:rsidRPr="00A87035" w:rsidRDefault="009D2C27" w:rsidP="0014219C">
      <w:pPr>
        <w:pStyle w:val="LabSection"/>
      </w:pPr>
      <w:r w:rsidRPr="00A87035">
        <w:t>Objetivos</w:t>
      </w:r>
    </w:p>
    <w:p w:rsidR="00C268D6" w:rsidRPr="00A87035" w:rsidRDefault="00963E34" w:rsidP="00C268D6">
      <w:pPr>
        <w:pStyle w:val="BodyTextL25Bold"/>
      </w:pPr>
      <w:r w:rsidRPr="00A87035">
        <w:t>Parte 1: Acceder a la calculadora de Windows</w:t>
      </w:r>
    </w:p>
    <w:p w:rsidR="006E6581" w:rsidRPr="00A87035" w:rsidRDefault="00CF5536" w:rsidP="006E6581">
      <w:pPr>
        <w:pStyle w:val="BodyTextL25Bold"/>
      </w:pPr>
      <w:r w:rsidRPr="00A87035">
        <w:t>Parte 2: Convertir entre sistemas de numeración</w:t>
      </w:r>
    </w:p>
    <w:p w:rsidR="004D73FA" w:rsidRPr="00A87035" w:rsidRDefault="004D73FA" w:rsidP="006E6581">
      <w:pPr>
        <w:pStyle w:val="BodyTextL25Bold"/>
      </w:pPr>
      <w:r w:rsidRPr="00A87035">
        <w:t xml:space="preserve">Parte 3: Convertir direcciones de host y máscaras de subred </w:t>
      </w:r>
      <w:proofErr w:type="spellStart"/>
      <w:r w:rsidRPr="00A87035">
        <w:t>IPv4</w:t>
      </w:r>
      <w:proofErr w:type="spellEnd"/>
      <w:r w:rsidRPr="00A87035">
        <w:t xml:space="preserve"> al sistema binario</w:t>
      </w:r>
    </w:p>
    <w:p w:rsidR="00CF5536" w:rsidRPr="00A87035" w:rsidRDefault="004332D8" w:rsidP="006E6581">
      <w:pPr>
        <w:pStyle w:val="BodyTextL25Bold"/>
      </w:pPr>
      <w:r w:rsidRPr="00A87035">
        <w:t>Parte 4: Determinar la cantidad de hosts en una red mediante potencias de 2</w:t>
      </w:r>
    </w:p>
    <w:p w:rsidR="002803A1" w:rsidRPr="00A87035" w:rsidRDefault="002803A1" w:rsidP="006E6581">
      <w:pPr>
        <w:pStyle w:val="BodyTextL25Bold"/>
      </w:pPr>
      <w:r w:rsidRPr="00A87035">
        <w:t xml:space="preserve">Parte 5: Convertir direcciones MAC y direcciones </w:t>
      </w:r>
      <w:proofErr w:type="spellStart"/>
      <w:r w:rsidRPr="00A87035">
        <w:t>IPv6</w:t>
      </w:r>
      <w:proofErr w:type="spellEnd"/>
      <w:r w:rsidRPr="00A87035">
        <w:t xml:space="preserve"> al sistema binario</w:t>
      </w:r>
    </w:p>
    <w:p w:rsidR="00C07FD9" w:rsidRPr="00A87035" w:rsidRDefault="009D2C27" w:rsidP="0014219C">
      <w:pPr>
        <w:pStyle w:val="LabSection"/>
      </w:pPr>
      <w:r w:rsidRPr="00A87035">
        <w:t>Aspectos básicos/situación</w:t>
      </w:r>
    </w:p>
    <w:p w:rsidR="00BF46EF" w:rsidRPr="00A87035" w:rsidRDefault="00945C68" w:rsidP="00945C68">
      <w:pPr>
        <w:pStyle w:val="BodyTextL25"/>
      </w:pPr>
      <w:r w:rsidRPr="00A87035">
        <w:t>Los técnicos de red utilizan números binarios, decimales y hexadecimales al trabajar con computadoras y dispositivos de red. Microsoft proporciona la aplicación Calculadora incorporada en el sistema operativo. La versión de Windows 7 de la Calculadora incluye una vista estándar que se puede utilizar para realizar tareas aritméticas básicas, como suma, resta, multiplicación y división. La Calculadora también tiene funcionalidades avanzadas de programación, estadística y calculadora científica.</w:t>
      </w:r>
    </w:p>
    <w:p w:rsidR="005E65B5" w:rsidRPr="00A87035" w:rsidRDefault="00945C68" w:rsidP="00945C68">
      <w:pPr>
        <w:pStyle w:val="BodyTextL25"/>
      </w:pPr>
      <w:r w:rsidRPr="00A87035">
        <w:t xml:space="preserve">En esta práctica de laboratorio, utilizará la vista de Programador de la Calculadora de Windows 7 para convertir entre </w:t>
      </w:r>
      <w:proofErr w:type="gramStart"/>
      <w:r w:rsidRPr="00A87035">
        <w:t>los sistemas numéricos binario</w:t>
      </w:r>
      <w:proofErr w:type="gramEnd"/>
      <w:r w:rsidRPr="00A87035">
        <w:t>, decimal y hexadecimal. También utilizará la función de potencia de la vista Científica para determinar la cantidad de hosts que se pueden direccionar según la cantidad de bits de host disponibles.</w:t>
      </w:r>
    </w:p>
    <w:p w:rsidR="007D2AFE" w:rsidRPr="00A87035" w:rsidRDefault="007D2AFE" w:rsidP="0014219C">
      <w:pPr>
        <w:pStyle w:val="LabSection"/>
      </w:pPr>
      <w:r w:rsidRPr="00A87035">
        <w:lastRenderedPageBreak/>
        <w:t>Recursos necesarios</w:t>
      </w:r>
    </w:p>
    <w:p w:rsidR="008D7F09" w:rsidRPr="00A87035" w:rsidRDefault="00510DBF" w:rsidP="00985FB7">
      <w:pPr>
        <w:pStyle w:val="Bulletlevel1"/>
      </w:pPr>
      <w:r w:rsidRPr="00A87035">
        <w:t>1 PC (Windows 7 u 8)</w:t>
      </w:r>
    </w:p>
    <w:p w:rsidR="00BF46EF" w:rsidRPr="00A87035" w:rsidRDefault="00BF46EF" w:rsidP="00BF46EF">
      <w:pPr>
        <w:pStyle w:val="BodyTextL25"/>
      </w:pPr>
      <w:r w:rsidRPr="00A87035">
        <w:rPr>
          <w:b/>
        </w:rPr>
        <w:t>Nota:</w:t>
      </w:r>
      <w:r w:rsidRPr="00A87035">
        <w:t xml:space="preserve"> si utiliza un sistema operativo distinto de Windows 7, es posible que las vistas y las funciones de la Calculadora sean diferentes de las que se muestran en esta práctica de laboratorio. Sin embargo, debería poder realizar los cálculos.</w:t>
      </w:r>
    </w:p>
    <w:p w:rsidR="00112AC5" w:rsidRPr="00A87035" w:rsidRDefault="001445C1" w:rsidP="00FF4350">
      <w:pPr>
        <w:pStyle w:val="PartHead"/>
      </w:pPr>
      <w:r w:rsidRPr="00A87035">
        <w:t>Acceder a la calculadora de Windows</w:t>
      </w:r>
    </w:p>
    <w:p w:rsidR="00112AC5" w:rsidRPr="00A87035" w:rsidRDefault="000410A5" w:rsidP="00580E73">
      <w:pPr>
        <w:pStyle w:val="BodyTextL25"/>
      </w:pPr>
      <w:r w:rsidRPr="00A87035">
        <w:t>En la parte 1, se familiarizará con la Calculadora incorporada en Microsoft Windows y verá los modos disponibles.</w:t>
      </w:r>
    </w:p>
    <w:p w:rsidR="0052621F" w:rsidRPr="00A87035" w:rsidRDefault="0052621F" w:rsidP="00FF4350">
      <w:pPr>
        <w:pStyle w:val="StepHead"/>
      </w:pPr>
      <w:r w:rsidRPr="00A87035">
        <w:t>Haga clic en el botón Inicio de Windows y seleccione Todos los programas.</w:t>
      </w:r>
    </w:p>
    <w:p w:rsidR="00A5704B" w:rsidRPr="00A87035" w:rsidRDefault="0052621F" w:rsidP="008013AA">
      <w:pPr>
        <w:pStyle w:val="StepHead"/>
      </w:pPr>
      <w:r w:rsidRPr="00A87035">
        <w:t>Haga clic en la carpeta Accesorios y seleccione Calculadora.</w:t>
      </w:r>
    </w:p>
    <w:p w:rsidR="000D3FB1" w:rsidRPr="00A87035" w:rsidRDefault="00A5704B" w:rsidP="008013AA">
      <w:pPr>
        <w:pStyle w:val="StepHead"/>
      </w:pPr>
      <w:r w:rsidRPr="00A87035">
        <w:t>Cuando la Calculadora se abra, haga clic en el menú Vista.</w:t>
      </w:r>
    </w:p>
    <w:p w:rsidR="00387B57" w:rsidRPr="00A87035" w:rsidRDefault="000D3FB1" w:rsidP="008013AA">
      <w:pPr>
        <w:pStyle w:val="BodyTextL25"/>
      </w:pPr>
      <w:r w:rsidRPr="00A87035">
        <w:t>¿Cuáles son los cuatro modos disponibles?</w:t>
      </w:r>
    </w:p>
    <w:p w:rsidR="000D3FB1" w:rsidRPr="00A87035" w:rsidRDefault="00387B57" w:rsidP="008013AA">
      <w:pPr>
        <w:pStyle w:val="BodyTextL25"/>
      </w:pPr>
      <w:r w:rsidRPr="00A87035">
        <w:t>_______________________________________________________________________________________</w:t>
      </w:r>
    </w:p>
    <w:p w:rsidR="009324C4" w:rsidRPr="00A87035" w:rsidRDefault="00387B57" w:rsidP="008013AA">
      <w:pPr>
        <w:pStyle w:val="BodyTextL25"/>
        <w:rPr>
          <w:rStyle w:val="AnswerGray"/>
        </w:rPr>
      </w:pPr>
      <w:r w:rsidRPr="00A87035">
        <w:rPr>
          <w:rStyle w:val="AnswerGray"/>
        </w:rPr>
        <w:t>Estándar, Científica, Programador y Estadística.</w:t>
      </w:r>
    </w:p>
    <w:p w:rsidR="00945C68" w:rsidRPr="00A87035" w:rsidRDefault="00352331" w:rsidP="00352331">
      <w:pPr>
        <w:pStyle w:val="BodyTextL25"/>
      </w:pPr>
      <w:r w:rsidRPr="00A87035">
        <w:rPr>
          <w:b/>
        </w:rPr>
        <w:t>Nota:</w:t>
      </w:r>
      <w:r w:rsidRPr="00A87035">
        <w:t xml:space="preserve"> en esta práctica de laboratorio, se utilizan los modos Programador y Científica.</w:t>
      </w:r>
    </w:p>
    <w:p w:rsidR="00112AC5" w:rsidRPr="00A87035" w:rsidRDefault="00387B57" w:rsidP="00030750">
      <w:pPr>
        <w:pStyle w:val="PartHead"/>
      </w:pPr>
      <w:r w:rsidRPr="00A87035">
        <w:t>Convertir entre sistemas de numeración</w:t>
      </w:r>
    </w:p>
    <w:p w:rsidR="00D17238" w:rsidRPr="00A87035" w:rsidRDefault="00D17238" w:rsidP="00030750">
      <w:pPr>
        <w:pStyle w:val="BodyTextL25"/>
      </w:pPr>
      <w:r w:rsidRPr="00A87035">
        <w:t xml:space="preserve">En la vista Programador de la Calculadora de Windows, están disponibles varios modos de sistemas numéricos: </w:t>
      </w:r>
      <w:proofErr w:type="spellStart"/>
      <w:r w:rsidRPr="00A87035">
        <w:t>Hexa</w:t>
      </w:r>
      <w:proofErr w:type="spellEnd"/>
      <w:r w:rsidRPr="00A87035">
        <w:t xml:space="preserve"> (hexadecimal o de base 16), </w:t>
      </w:r>
      <w:proofErr w:type="spellStart"/>
      <w:r w:rsidRPr="00A87035">
        <w:t>Dec</w:t>
      </w:r>
      <w:proofErr w:type="spellEnd"/>
      <w:r w:rsidRPr="00A87035">
        <w:t xml:space="preserve"> (decimal o de base 10), </w:t>
      </w:r>
      <w:proofErr w:type="spellStart"/>
      <w:r w:rsidRPr="00A87035">
        <w:t>Oct</w:t>
      </w:r>
      <w:proofErr w:type="spellEnd"/>
      <w:r w:rsidRPr="00A87035">
        <w:t xml:space="preserve"> (octal o de base 8) y </w:t>
      </w:r>
      <w:proofErr w:type="spellStart"/>
      <w:r w:rsidRPr="00A87035">
        <w:t>Bin</w:t>
      </w:r>
      <w:proofErr w:type="spellEnd"/>
      <w:r w:rsidRPr="00A87035">
        <w:t xml:space="preserve"> (binario o de base 2).</w:t>
      </w:r>
    </w:p>
    <w:p w:rsidR="00A57E23" w:rsidRPr="00A87035" w:rsidRDefault="006450BE" w:rsidP="00030750">
      <w:pPr>
        <w:pStyle w:val="BodyTextL25"/>
      </w:pPr>
      <w:r w:rsidRPr="00A87035">
        <w:t>Estamos acostumbrados a utilizar el sistema numérico decimal, en el que se utilizan los dígitos del 0 al 9. El sistema numérico decimal se utiliza en la vida diaria para contar, manejar dinero y realizar transacciones financieras. Las computadoras y otros dispositivos electrónicos utilizan el sistema numérico binario (en el que se utilizan solamente los dígitos 0 y 1) para el almacenamiento y la transmisión de datos, y los cálculos numéricos. En última instancia, todos los cálculos internos de la computadora se realizan en formato binario (digital), independientemente de cómo se muestren.</w:t>
      </w:r>
    </w:p>
    <w:p w:rsidR="00A57E23" w:rsidRPr="00A87035" w:rsidRDefault="00EA0EFC" w:rsidP="00A57E23">
      <w:pPr>
        <w:pStyle w:val="BodyTextL25"/>
      </w:pPr>
      <w:r w:rsidRPr="00A87035">
        <w:t xml:space="preserve">Una desventaja de los números binarios es que el equivalente binario de un número decimal grande puede ser bastante largo. Esto los hace difíciles de leer y escribir. Una forma de superar este problema es organizar los números binarios en grupos de cuatro números hexadecimales. Los números hexadecimales son de base 16; en este sistema, se utiliza una combinación de los dígitos del 0 al 9 y las letras de la A a la F para representar el equivalente binario o decimal. Los caracteres hexadecimales se utilizan al escribir o mostrar direcciones </w:t>
      </w:r>
      <w:proofErr w:type="spellStart"/>
      <w:r w:rsidRPr="00A87035">
        <w:t>IPv6</w:t>
      </w:r>
      <w:proofErr w:type="spellEnd"/>
      <w:r w:rsidRPr="00A87035">
        <w:t xml:space="preserve"> y MAC.</w:t>
      </w:r>
    </w:p>
    <w:p w:rsidR="00A57E23" w:rsidRPr="00A87035" w:rsidRDefault="003D1A33" w:rsidP="00A57E23">
      <w:pPr>
        <w:pStyle w:val="BodyTextL25"/>
      </w:pPr>
      <w:r w:rsidRPr="00A87035">
        <w:t>En principio, el sistema octal es muy similar al hexadecimal. Los números octales representan números binarios en grupos de tres. En este sistema numérico, se utilizan los dígitos del 0 al 7. Los números octales también son una manera útil de representar un número binario grande en grupos más pequeños, pero este sistema numérico no se utiliza con mucha frecuencia.</w:t>
      </w:r>
    </w:p>
    <w:p w:rsidR="00F3295B" w:rsidRPr="00A87035" w:rsidRDefault="00F3295B" w:rsidP="00F3295B">
      <w:pPr>
        <w:pStyle w:val="BodyTextL25"/>
      </w:pPr>
      <w:r w:rsidRPr="00A87035">
        <w:t>En esta práctica de laboratorio, se utiliza la Calculadora de Windows 7 para convertir entre diferentes sistemas numéricos en el modo Programador.</w:t>
      </w:r>
    </w:p>
    <w:p w:rsidR="00123D26" w:rsidRPr="00A87035" w:rsidRDefault="00123D26" w:rsidP="00123D26">
      <w:pPr>
        <w:pStyle w:val="SubStepAlpha"/>
      </w:pPr>
      <w:r w:rsidRPr="00A87035">
        <w:t xml:space="preserve">Haga clic en el menú </w:t>
      </w:r>
      <w:r w:rsidRPr="00A87035">
        <w:rPr>
          <w:b/>
        </w:rPr>
        <w:t>Ver</w:t>
      </w:r>
      <w:r w:rsidRPr="00A87035">
        <w:t xml:space="preserve"> y seleccione </w:t>
      </w:r>
      <w:r w:rsidRPr="00A87035">
        <w:rPr>
          <w:b/>
        </w:rPr>
        <w:t>Programador</w:t>
      </w:r>
      <w:r w:rsidRPr="00A87035">
        <w:t xml:space="preserve"> para cambiar a este modo.</w:t>
      </w:r>
    </w:p>
    <w:p w:rsidR="00123D26" w:rsidRPr="00A87035" w:rsidRDefault="00123D26" w:rsidP="00123D26">
      <w:pPr>
        <w:pStyle w:val="BodyTextL25"/>
      </w:pPr>
      <w:r w:rsidRPr="00A87035">
        <w:rPr>
          <w:b/>
        </w:rPr>
        <w:t>Nota:</w:t>
      </w:r>
      <w:r w:rsidRPr="00A87035">
        <w:t xml:space="preserve"> en Windows XP y Vista, solamente están disponibles los modos Estándar y Científica. Si utiliza uno de estos sistemas operativos, puede utilizar el modo Científica para realizar esta práctica de laboratorio.</w:t>
      </w:r>
    </w:p>
    <w:p w:rsidR="00F3295B" w:rsidRPr="00A87035" w:rsidRDefault="006B312B" w:rsidP="004762DD">
      <w:pPr>
        <w:pStyle w:val="BodyTextL50"/>
        <w:rPr>
          <w:rStyle w:val="AnswerGray"/>
          <w:shd w:val="clear" w:color="auto" w:fill="auto"/>
        </w:rPr>
      </w:pPr>
      <w:r w:rsidRPr="00A87035">
        <w:lastRenderedPageBreak/>
        <w:t xml:space="preserve">¿Qué sistema numérico está activo? ______________________________________________ </w:t>
      </w:r>
      <w:proofErr w:type="spellStart"/>
      <w:r w:rsidRPr="00A87035">
        <w:rPr>
          <w:rStyle w:val="AnswerGray"/>
        </w:rPr>
        <w:t>Dec</w:t>
      </w:r>
      <w:proofErr w:type="spellEnd"/>
    </w:p>
    <w:p w:rsidR="006B312B" w:rsidRPr="00A87035" w:rsidRDefault="006B312B" w:rsidP="004762DD">
      <w:pPr>
        <w:pStyle w:val="BodyTextL50"/>
        <w:rPr>
          <w:rStyle w:val="AnswerGray"/>
        </w:rPr>
      </w:pPr>
      <w:r w:rsidRPr="00A87035">
        <w:t xml:space="preserve">¿Qué números del teclado numérico están activos en el modo decimal? _________________________ </w:t>
      </w:r>
      <w:r w:rsidRPr="00A87035">
        <w:rPr>
          <w:rStyle w:val="AnswerGray"/>
        </w:rPr>
        <w:t>Del 0 al 9</w:t>
      </w:r>
    </w:p>
    <w:p w:rsidR="006B312B" w:rsidRPr="00A87035" w:rsidRDefault="006B312B" w:rsidP="00973DBE">
      <w:pPr>
        <w:pStyle w:val="SubStepAlpha"/>
      </w:pPr>
      <w:r w:rsidRPr="00A87035">
        <w:t xml:space="preserve">Haga clic en el botón de opción </w:t>
      </w:r>
      <w:proofErr w:type="spellStart"/>
      <w:r w:rsidRPr="00A87035">
        <w:rPr>
          <w:b/>
        </w:rPr>
        <w:t>Bin</w:t>
      </w:r>
      <w:proofErr w:type="spellEnd"/>
      <w:r w:rsidRPr="00A87035">
        <w:t xml:space="preserve"> (binario). ¿Qué números están activos en el teclado numérico ahora?</w:t>
      </w:r>
    </w:p>
    <w:p w:rsidR="006B312B" w:rsidRPr="00A87035" w:rsidRDefault="006B312B" w:rsidP="006B312B">
      <w:pPr>
        <w:pStyle w:val="BodyTextL50"/>
        <w:rPr>
          <w:rStyle w:val="AnswerGray"/>
        </w:rPr>
      </w:pPr>
      <w:r w:rsidRPr="00A87035">
        <w:t xml:space="preserve">____________________________________ </w:t>
      </w:r>
      <w:r w:rsidRPr="00A87035">
        <w:rPr>
          <w:rStyle w:val="AnswerGray"/>
        </w:rPr>
        <w:t>0 y 1</w:t>
      </w:r>
    </w:p>
    <w:p w:rsidR="00F37E00" w:rsidRPr="00A87035" w:rsidRDefault="00F37E00" w:rsidP="00973DBE">
      <w:pPr>
        <w:pStyle w:val="SubStepAlpha"/>
        <w:numPr>
          <w:ilvl w:val="0"/>
          <w:numId w:val="0"/>
        </w:numPr>
        <w:ind w:left="720"/>
      </w:pPr>
      <w:r w:rsidRPr="00A87035">
        <w:t>¿Por qué considera que los otros números se muestran en color gris?</w:t>
      </w:r>
    </w:p>
    <w:p w:rsidR="006B312B" w:rsidRPr="00A87035" w:rsidRDefault="00F37E00" w:rsidP="00F37E00">
      <w:pPr>
        <w:pStyle w:val="BodyTextL50"/>
      </w:pPr>
      <w:r w:rsidRPr="00A87035">
        <w:t>____________________________________________________________________________________</w:t>
      </w:r>
    </w:p>
    <w:p w:rsidR="00F37E00" w:rsidRPr="00A87035" w:rsidRDefault="00F37E00" w:rsidP="00F37E00">
      <w:pPr>
        <w:pStyle w:val="BodyTextL50"/>
        <w:rPr>
          <w:rStyle w:val="AnswerGray"/>
        </w:rPr>
      </w:pPr>
      <w:r w:rsidRPr="00A87035">
        <w:rPr>
          <w:rStyle w:val="AnswerGray"/>
        </w:rPr>
        <w:t>Los únicos dígitos utilizados en el sistema binario (de base 2) son el 0 y el 1.</w:t>
      </w:r>
    </w:p>
    <w:p w:rsidR="009F5F35" w:rsidRPr="00A87035" w:rsidRDefault="009F5F35" w:rsidP="009F5F35">
      <w:pPr>
        <w:pStyle w:val="SubStepAlpha"/>
      </w:pPr>
      <w:r w:rsidRPr="00A87035">
        <w:t xml:space="preserve">Haga clic en el botón de opción </w:t>
      </w:r>
      <w:proofErr w:type="spellStart"/>
      <w:r w:rsidRPr="00A87035">
        <w:rPr>
          <w:b/>
        </w:rPr>
        <w:t>Hexa</w:t>
      </w:r>
      <w:proofErr w:type="spellEnd"/>
      <w:r w:rsidRPr="00A87035">
        <w:t xml:space="preserve"> </w:t>
      </w:r>
      <w:r w:rsidRPr="00D11456">
        <w:t>(hexadecimal)</w:t>
      </w:r>
      <w:r w:rsidRPr="00A87035">
        <w:t>. ¿Qué caracteres están activos en el teclado numérico ahora?</w:t>
      </w:r>
    </w:p>
    <w:p w:rsidR="009F5F35" w:rsidRPr="00A87035" w:rsidRDefault="009F5F35" w:rsidP="009F5F35">
      <w:pPr>
        <w:pStyle w:val="BodyTextL50"/>
      </w:pPr>
      <w:r w:rsidRPr="00A87035">
        <w:t>____________________________________________________________________________________</w:t>
      </w:r>
    </w:p>
    <w:p w:rsidR="009F5F35" w:rsidRPr="00A87035" w:rsidRDefault="007962B4" w:rsidP="007962B4">
      <w:pPr>
        <w:pStyle w:val="BodyTextL50"/>
        <w:rPr>
          <w:rStyle w:val="AnswerGray"/>
        </w:rPr>
      </w:pPr>
      <w:r w:rsidRPr="00A87035">
        <w:rPr>
          <w:rStyle w:val="AnswerGray"/>
        </w:rPr>
        <w:t>Del 0 al 9 y de la A a la F. El sistema hexadecimal (de base 16) tiene 16 valores posibles.</w:t>
      </w:r>
    </w:p>
    <w:p w:rsidR="00F156F9" w:rsidRPr="00A87035" w:rsidRDefault="00F35203" w:rsidP="00A86EB9">
      <w:pPr>
        <w:pStyle w:val="SubStepAlpha"/>
      </w:pPr>
      <w:r w:rsidRPr="00A87035">
        <w:t xml:space="preserve">Haga clic en el botón de opción </w:t>
      </w:r>
      <w:proofErr w:type="spellStart"/>
      <w:r w:rsidRPr="00A87035">
        <w:rPr>
          <w:b/>
        </w:rPr>
        <w:t>Dec</w:t>
      </w:r>
      <w:proofErr w:type="spellEnd"/>
      <w:r w:rsidRPr="00A87035">
        <w:t xml:space="preserve"> </w:t>
      </w:r>
      <w:r w:rsidRPr="00D11456">
        <w:t>(decimal)</w:t>
      </w:r>
      <w:r w:rsidRPr="00A87035">
        <w:t xml:space="preserve">. Con el mouse, haga clic en el número </w:t>
      </w:r>
      <w:r w:rsidRPr="00A87035">
        <w:rPr>
          <w:b/>
        </w:rPr>
        <w:t>1</w:t>
      </w:r>
      <w:r w:rsidRPr="00A87035">
        <w:t xml:space="preserve"> seguido del número </w:t>
      </w:r>
      <w:r w:rsidRPr="00A87035">
        <w:rPr>
          <w:b/>
        </w:rPr>
        <w:t>5</w:t>
      </w:r>
      <w:r w:rsidRPr="00A87035">
        <w:t xml:space="preserve"> en el teclado numérico. Se introduce el número decimal 15.</w:t>
      </w:r>
    </w:p>
    <w:p w:rsidR="00F156F9" w:rsidRPr="00A87035" w:rsidRDefault="00F156F9" w:rsidP="00F156F9">
      <w:pPr>
        <w:pStyle w:val="BodyTextL50"/>
      </w:pPr>
      <w:r w:rsidRPr="00A87035">
        <w:rPr>
          <w:b/>
        </w:rPr>
        <w:t>Nota:</w:t>
      </w:r>
      <w:r w:rsidRPr="00A87035">
        <w:t xml:space="preserve"> los números y las letras del teclado también se pueden utilizar para introducir los valores. Si utiliza el teclado numérico, escriba el número </w:t>
      </w:r>
      <w:r w:rsidRPr="00A87035">
        <w:rPr>
          <w:b/>
        </w:rPr>
        <w:t>15</w:t>
      </w:r>
      <w:r w:rsidRPr="00A87035">
        <w:t xml:space="preserve">. Si el número no se introduce en la Calculadora, presione la tecla </w:t>
      </w:r>
      <w:proofErr w:type="spellStart"/>
      <w:r w:rsidRPr="00A87035">
        <w:rPr>
          <w:b/>
        </w:rPr>
        <w:t>Bloq</w:t>
      </w:r>
      <w:proofErr w:type="spellEnd"/>
      <w:r w:rsidRPr="00A87035">
        <w:rPr>
          <w:b/>
        </w:rPr>
        <w:t xml:space="preserve"> </w:t>
      </w:r>
      <w:proofErr w:type="spellStart"/>
      <w:r w:rsidRPr="00A87035">
        <w:rPr>
          <w:b/>
        </w:rPr>
        <w:t>Num</w:t>
      </w:r>
      <w:proofErr w:type="spellEnd"/>
      <w:r w:rsidRPr="00A87035">
        <w:t xml:space="preserve"> para activar el teclado numérico.</w:t>
      </w:r>
    </w:p>
    <w:p w:rsidR="00F35203" w:rsidRPr="00A87035" w:rsidRDefault="00F35203" w:rsidP="00F156F9">
      <w:pPr>
        <w:pStyle w:val="BodyTextL50"/>
      </w:pPr>
      <w:r w:rsidRPr="00A87035">
        <w:t xml:space="preserve">Haga clic en el botón de opción </w:t>
      </w:r>
      <w:proofErr w:type="spellStart"/>
      <w:r w:rsidRPr="00A87035">
        <w:rPr>
          <w:b/>
        </w:rPr>
        <w:t>Bin</w:t>
      </w:r>
      <w:proofErr w:type="spellEnd"/>
      <w:r w:rsidRPr="00A87035">
        <w:t xml:space="preserve"> </w:t>
      </w:r>
      <w:r w:rsidRPr="00D11456">
        <w:t>(binario)</w:t>
      </w:r>
      <w:r w:rsidRPr="00A87035">
        <w:t>. ¿Qué le sucedió al número 15?</w:t>
      </w:r>
    </w:p>
    <w:p w:rsidR="00F35203" w:rsidRPr="00A87035" w:rsidRDefault="00F35203" w:rsidP="00F35203">
      <w:pPr>
        <w:pStyle w:val="BodyTextL50"/>
      </w:pPr>
      <w:r w:rsidRPr="00A87035">
        <w:t>____________________________________________________________________________________</w:t>
      </w:r>
    </w:p>
    <w:p w:rsidR="00F35203" w:rsidRPr="00A87035" w:rsidRDefault="00F35203" w:rsidP="00F35203">
      <w:pPr>
        <w:pStyle w:val="BodyTextL50"/>
        <w:rPr>
          <w:rStyle w:val="AnswerGray"/>
        </w:rPr>
      </w:pPr>
      <w:r w:rsidRPr="00A87035">
        <w:rPr>
          <w:rStyle w:val="AnswerGray"/>
        </w:rPr>
        <w:t>Se convirtió en el número binario 1111. El número binario 1111 representa el número decimal 15.</w:t>
      </w:r>
    </w:p>
    <w:p w:rsidR="000A5C89" w:rsidRPr="00A87035" w:rsidRDefault="001336B6" w:rsidP="001E4247">
      <w:pPr>
        <w:pStyle w:val="SubStepAlpha"/>
      </w:pPr>
      <w:r w:rsidRPr="00A87035">
        <w:t xml:space="preserve">Los números se convierten de un sistema numérico a otro al seleccionar el modo numérico deseado. Vuelva a hacer clic en el botón de opción </w:t>
      </w:r>
      <w:proofErr w:type="spellStart"/>
      <w:r w:rsidRPr="00A87035">
        <w:rPr>
          <w:b/>
        </w:rPr>
        <w:t>Dec</w:t>
      </w:r>
      <w:proofErr w:type="spellEnd"/>
      <w:r w:rsidRPr="00A87035">
        <w:t>. El número se vuelve a convertir en decimal.</w:t>
      </w:r>
    </w:p>
    <w:p w:rsidR="00123D26" w:rsidRPr="00A87035" w:rsidRDefault="00B56B9A" w:rsidP="00FF4350">
      <w:pPr>
        <w:pStyle w:val="SubStepAlpha"/>
        <w:rPr>
          <w:rStyle w:val="AnswerGray"/>
          <w:shd w:val="clear" w:color="auto" w:fill="auto"/>
        </w:rPr>
      </w:pPr>
      <w:r w:rsidRPr="00A87035">
        <w:t xml:space="preserve">Haga clic en el botón de opción </w:t>
      </w:r>
      <w:proofErr w:type="spellStart"/>
      <w:r w:rsidRPr="00A87035">
        <w:rPr>
          <w:b/>
        </w:rPr>
        <w:t>Hex</w:t>
      </w:r>
      <w:proofErr w:type="spellEnd"/>
      <w:r w:rsidRPr="00A87035">
        <w:t xml:space="preserve"> radio </w:t>
      </w:r>
      <w:proofErr w:type="spellStart"/>
      <w:r w:rsidRPr="00A87035">
        <w:t>button</w:t>
      </w:r>
      <w:proofErr w:type="spellEnd"/>
      <w:r w:rsidRPr="00A87035">
        <w:t xml:space="preserve"> </w:t>
      </w:r>
      <w:proofErr w:type="spellStart"/>
      <w:r w:rsidRPr="00A87035">
        <w:t>to</w:t>
      </w:r>
      <w:proofErr w:type="spellEnd"/>
      <w:r w:rsidRPr="00A87035">
        <w:t xml:space="preserve"> </w:t>
      </w:r>
      <w:proofErr w:type="spellStart"/>
      <w:r w:rsidRPr="004C57A9">
        <w:rPr>
          <w:bCs/>
        </w:rPr>
        <w:t>Hexa</w:t>
      </w:r>
      <w:proofErr w:type="spellEnd"/>
      <w:r w:rsidRPr="00A87035">
        <w:t xml:space="preserve"> para cambiar al modo hexadecimal. ¿Qué carácter hexadecimal (del 0 al 9 o de la A a la F) representa el decimal 15? ______________________ </w:t>
      </w:r>
      <w:r w:rsidRPr="00A87035">
        <w:rPr>
          <w:rStyle w:val="AnswerGray"/>
        </w:rPr>
        <w:t>F</w:t>
      </w:r>
    </w:p>
    <w:p w:rsidR="00123D26" w:rsidRPr="00A87035" w:rsidRDefault="00123D26" w:rsidP="00123D26">
      <w:pPr>
        <w:pStyle w:val="SubStepAlpha"/>
      </w:pPr>
      <w:r w:rsidRPr="00A87035">
        <w:t>Mientras alternaba entre sistemas numéricos, es posible que haya observado que se muestra el número binario 1111 durante la conversión. Esto le permite relacionar los dígitos binarios con los valores de los otros sistemas numéricos. Cada conjunto de 4 bits representa un carácter hexadecimal o varios caracteres decimales potenciales.</w:t>
      </w:r>
    </w:p>
    <w:p w:rsidR="00F156F9" w:rsidRPr="00A87035" w:rsidRDefault="0022636B" w:rsidP="00F156F9">
      <w:pPr>
        <w:pStyle w:val="Visual"/>
      </w:pPr>
      <w:r w:rsidRPr="00A87035">
        <w:rPr>
          <w:noProof/>
          <w:lang w:val="en-US" w:eastAsia="zh-CN" w:bidi="ar-SA"/>
        </w:rPr>
        <w:drawing>
          <wp:inline distT="0" distB="0" distL="0" distR="0">
            <wp:extent cx="3657600" cy="1057275"/>
            <wp:effectExtent l="0" t="0" r="0" b="9525"/>
            <wp:docPr id="1" name="Picture 2" descr="Calculator_15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or_15_cropped"/>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057275"/>
                    </a:xfrm>
                    <a:prstGeom prst="rect">
                      <a:avLst/>
                    </a:prstGeom>
                    <a:noFill/>
                    <a:ln>
                      <a:noFill/>
                    </a:ln>
                  </pic:spPr>
                </pic:pic>
              </a:graphicData>
            </a:graphic>
          </wp:inline>
        </w:drawing>
      </w:r>
    </w:p>
    <w:p w:rsidR="00F63203" w:rsidRPr="00A87035" w:rsidRDefault="005C6CD3" w:rsidP="00123D26">
      <w:pPr>
        <w:pStyle w:val="SubStepAlpha"/>
      </w:pPr>
      <w:r w:rsidRPr="00A87035">
        <w:t xml:space="preserve">Haga clic en la letra </w:t>
      </w:r>
      <w:r w:rsidRPr="00A87035">
        <w:rPr>
          <w:b/>
        </w:rPr>
        <w:t>C</w:t>
      </w:r>
      <w:r w:rsidRPr="00A87035">
        <w:t xml:space="preserve"> que se encuentra arriba del 9 en el teclado de la Calculadora para borrar los valores de la ventana. Convierta los siguientes números a los distintos sistemas numéricos (binario, decimal y hexadecimal).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99"/>
        <w:gridCol w:w="1599"/>
        <w:gridCol w:w="1598"/>
      </w:tblGrid>
      <w:tr w:rsidR="005C6CD3" w:rsidRPr="00A87035" w:rsidTr="00902932">
        <w:trPr>
          <w:cantSplit/>
          <w:jc w:val="center"/>
        </w:trPr>
        <w:tc>
          <w:tcPr>
            <w:tcW w:w="15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A87035" w:rsidRDefault="005C6CD3" w:rsidP="00902932">
            <w:pPr>
              <w:pStyle w:val="TableHeading"/>
            </w:pPr>
            <w:r w:rsidRPr="00A87035">
              <w:lastRenderedPageBreak/>
              <w:t>Decimal</w:t>
            </w:r>
          </w:p>
        </w:tc>
        <w:tc>
          <w:tcPr>
            <w:tcW w:w="15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A87035" w:rsidRDefault="005C6CD3" w:rsidP="00902932">
            <w:pPr>
              <w:pStyle w:val="TableHeading"/>
            </w:pPr>
            <w:r w:rsidRPr="00A87035">
              <w:t>Binario</w:t>
            </w:r>
          </w:p>
        </w:tc>
        <w:tc>
          <w:tcPr>
            <w:tcW w:w="1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A87035" w:rsidRDefault="005C6CD3" w:rsidP="00902932">
            <w:pPr>
              <w:pStyle w:val="TableHeading"/>
            </w:pPr>
            <w:r w:rsidRPr="00A87035">
              <w:t>Hexadecimal</w:t>
            </w:r>
          </w:p>
        </w:tc>
      </w:tr>
      <w:tr w:rsidR="005C6CD3" w:rsidRPr="00A87035" w:rsidTr="00902932">
        <w:trPr>
          <w:cantSplit/>
          <w:jc w:val="center"/>
        </w:trPr>
        <w:tc>
          <w:tcPr>
            <w:tcW w:w="1599" w:type="dxa"/>
            <w:vAlign w:val="bottom"/>
          </w:tcPr>
          <w:p w:rsidR="005C6CD3" w:rsidRPr="00A87035" w:rsidRDefault="005C6CD3" w:rsidP="00902932">
            <w:pPr>
              <w:pStyle w:val="TableText"/>
              <w:jc w:val="center"/>
            </w:pPr>
            <w:r w:rsidRPr="00A87035">
              <w:t>86</w:t>
            </w:r>
          </w:p>
        </w:tc>
        <w:tc>
          <w:tcPr>
            <w:tcW w:w="1599" w:type="dxa"/>
            <w:vAlign w:val="bottom"/>
          </w:tcPr>
          <w:p w:rsidR="005C6CD3" w:rsidRPr="00A87035" w:rsidRDefault="005C6CD3" w:rsidP="00902932">
            <w:pPr>
              <w:pStyle w:val="TableText"/>
              <w:jc w:val="center"/>
              <w:rPr>
                <w:rStyle w:val="AnswerGray"/>
              </w:rPr>
            </w:pPr>
            <w:r w:rsidRPr="00A87035">
              <w:rPr>
                <w:rStyle w:val="AnswerGray"/>
              </w:rPr>
              <w:t>0101 0110</w:t>
            </w:r>
          </w:p>
        </w:tc>
        <w:tc>
          <w:tcPr>
            <w:tcW w:w="1598" w:type="dxa"/>
            <w:vAlign w:val="bottom"/>
          </w:tcPr>
          <w:p w:rsidR="005C6CD3" w:rsidRPr="00A87035" w:rsidRDefault="005C6CD3" w:rsidP="00902932">
            <w:pPr>
              <w:pStyle w:val="TableText"/>
              <w:jc w:val="center"/>
              <w:rPr>
                <w:rStyle w:val="AnswerGray"/>
              </w:rPr>
            </w:pPr>
            <w:r w:rsidRPr="00A87035">
              <w:rPr>
                <w:rStyle w:val="AnswerGray"/>
              </w:rPr>
              <w:t>56</w:t>
            </w:r>
          </w:p>
        </w:tc>
      </w:tr>
      <w:tr w:rsidR="009722C5" w:rsidRPr="00A87035" w:rsidTr="00902932">
        <w:trPr>
          <w:cantSplit/>
          <w:jc w:val="center"/>
        </w:trPr>
        <w:tc>
          <w:tcPr>
            <w:tcW w:w="1599" w:type="dxa"/>
            <w:vAlign w:val="bottom"/>
          </w:tcPr>
          <w:p w:rsidR="009722C5" w:rsidRPr="00A87035" w:rsidRDefault="009722C5" w:rsidP="00902932">
            <w:pPr>
              <w:pStyle w:val="TableText"/>
              <w:jc w:val="center"/>
            </w:pPr>
            <w:r w:rsidRPr="00A87035">
              <w:t>175</w:t>
            </w:r>
          </w:p>
        </w:tc>
        <w:tc>
          <w:tcPr>
            <w:tcW w:w="1599" w:type="dxa"/>
            <w:vAlign w:val="bottom"/>
          </w:tcPr>
          <w:p w:rsidR="009722C5" w:rsidRPr="00A87035" w:rsidRDefault="009722C5" w:rsidP="00902932">
            <w:pPr>
              <w:pStyle w:val="TableText"/>
              <w:jc w:val="center"/>
              <w:rPr>
                <w:rStyle w:val="AnswerGray"/>
              </w:rPr>
            </w:pPr>
            <w:r w:rsidRPr="00A87035">
              <w:rPr>
                <w:rStyle w:val="AnswerGray"/>
              </w:rPr>
              <w:t>1010 1111</w:t>
            </w:r>
          </w:p>
        </w:tc>
        <w:tc>
          <w:tcPr>
            <w:tcW w:w="1598" w:type="dxa"/>
            <w:vAlign w:val="bottom"/>
          </w:tcPr>
          <w:p w:rsidR="009722C5" w:rsidRPr="00A87035" w:rsidRDefault="009722C5" w:rsidP="00902932">
            <w:pPr>
              <w:pStyle w:val="TableText"/>
              <w:jc w:val="center"/>
              <w:rPr>
                <w:rStyle w:val="AnswerGray"/>
              </w:rPr>
            </w:pPr>
            <w:proofErr w:type="spellStart"/>
            <w:r w:rsidRPr="00A87035">
              <w:rPr>
                <w:rStyle w:val="AnswerGray"/>
              </w:rPr>
              <w:t>AF</w:t>
            </w:r>
            <w:proofErr w:type="spellEnd"/>
          </w:p>
        </w:tc>
      </w:tr>
      <w:tr w:rsidR="009722C5" w:rsidRPr="00A87035" w:rsidTr="00902932">
        <w:trPr>
          <w:cantSplit/>
          <w:jc w:val="center"/>
        </w:trPr>
        <w:tc>
          <w:tcPr>
            <w:tcW w:w="1599" w:type="dxa"/>
            <w:vAlign w:val="bottom"/>
          </w:tcPr>
          <w:p w:rsidR="009722C5" w:rsidRPr="00A87035" w:rsidRDefault="009722C5" w:rsidP="00902932">
            <w:pPr>
              <w:pStyle w:val="TableText"/>
              <w:jc w:val="center"/>
            </w:pPr>
            <w:r w:rsidRPr="00A87035">
              <w:t>204</w:t>
            </w:r>
          </w:p>
        </w:tc>
        <w:tc>
          <w:tcPr>
            <w:tcW w:w="1599" w:type="dxa"/>
            <w:vAlign w:val="bottom"/>
          </w:tcPr>
          <w:p w:rsidR="009722C5" w:rsidRPr="00A87035" w:rsidRDefault="009722C5" w:rsidP="00902932">
            <w:pPr>
              <w:pStyle w:val="TableText"/>
              <w:jc w:val="center"/>
              <w:rPr>
                <w:rStyle w:val="AnswerGray"/>
              </w:rPr>
            </w:pPr>
            <w:r w:rsidRPr="00A87035">
              <w:rPr>
                <w:rStyle w:val="AnswerGray"/>
              </w:rPr>
              <w:t>1100 1100</w:t>
            </w:r>
          </w:p>
        </w:tc>
        <w:tc>
          <w:tcPr>
            <w:tcW w:w="1598" w:type="dxa"/>
            <w:vAlign w:val="bottom"/>
          </w:tcPr>
          <w:p w:rsidR="009722C5" w:rsidRPr="00A87035" w:rsidRDefault="009722C5" w:rsidP="00902932">
            <w:pPr>
              <w:pStyle w:val="TableText"/>
              <w:jc w:val="center"/>
              <w:rPr>
                <w:rStyle w:val="AnswerGray"/>
              </w:rPr>
            </w:pPr>
            <w:proofErr w:type="spellStart"/>
            <w:r w:rsidRPr="00A87035">
              <w:rPr>
                <w:rStyle w:val="AnswerGray"/>
              </w:rPr>
              <w:t>CC</w:t>
            </w:r>
            <w:proofErr w:type="spellEnd"/>
          </w:p>
        </w:tc>
      </w:tr>
      <w:tr w:rsidR="009722C5" w:rsidRPr="00A87035" w:rsidTr="00902932">
        <w:trPr>
          <w:cantSplit/>
          <w:jc w:val="center"/>
        </w:trPr>
        <w:tc>
          <w:tcPr>
            <w:tcW w:w="1599" w:type="dxa"/>
            <w:vAlign w:val="bottom"/>
          </w:tcPr>
          <w:p w:rsidR="009722C5" w:rsidRPr="00A87035" w:rsidRDefault="009722C5" w:rsidP="00902932">
            <w:pPr>
              <w:pStyle w:val="TableText"/>
              <w:jc w:val="center"/>
              <w:rPr>
                <w:rStyle w:val="AnswerGray"/>
              </w:rPr>
            </w:pPr>
            <w:r w:rsidRPr="00A87035">
              <w:rPr>
                <w:rStyle w:val="AnswerGray"/>
              </w:rPr>
              <w:t>19</w:t>
            </w:r>
          </w:p>
        </w:tc>
        <w:tc>
          <w:tcPr>
            <w:tcW w:w="1599" w:type="dxa"/>
            <w:vAlign w:val="bottom"/>
          </w:tcPr>
          <w:p w:rsidR="009722C5" w:rsidRPr="00A87035" w:rsidRDefault="009722C5" w:rsidP="00902932">
            <w:pPr>
              <w:pStyle w:val="TableText"/>
              <w:jc w:val="center"/>
            </w:pPr>
            <w:r w:rsidRPr="00A87035">
              <w:t>0001 0011</w:t>
            </w:r>
          </w:p>
        </w:tc>
        <w:tc>
          <w:tcPr>
            <w:tcW w:w="1598" w:type="dxa"/>
            <w:vAlign w:val="bottom"/>
          </w:tcPr>
          <w:p w:rsidR="009722C5" w:rsidRPr="00A87035" w:rsidRDefault="009722C5" w:rsidP="00902932">
            <w:pPr>
              <w:pStyle w:val="TableText"/>
              <w:jc w:val="center"/>
              <w:rPr>
                <w:rStyle w:val="AnswerGray"/>
              </w:rPr>
            </w:pPr>
            <w:r w:rsidRPr="00A87035">
              <w:rPr>
                <w:rStyle w:val="AnswerGray"/>
              </w:rPr>
              <w:t>13</w:t>
            </w:r>
          </w:p>
        </w:tc>
      </w:tr>
      <w:tr w:rsidR="009722C5" w:rsidRPr="00A87035" w:rsidTr="00902932">
        <w:trPr>
          <w:cantSplit/>
          <w:jc w:val="center"/>
        </w:trPr>
        <w:tc>
          <w:tcPr>
            <w:tcW w:w="1599" w:type="dxa"/>
            <w:vAlign w:val="bottom"/>
          </w:tcPr>
          <w:p w:rsidR="00270A9E" w:rsidRPr="00A87035" w:rsidRDefault="00270A9E" w:rsidP="00902932">
            <w:pPr>
              <w:pStyle w:val="TableText"/>
              <w:jc w:val="center"/>
              <w:rPr>
                <w:rStyle w:val="AnswerGray"/>
              </w:rPr>
            </w:pPr>
            <w:r w:rsidRPr="00A87035">
              <w:rPr>
                <w:rStyle w:val="AnswerGray"/>
              </w:rPr>
              <w:t>77</w:t>
            </w:r>
          </w:p>
        </w:tc>
        <w:tc>
          <w:tcPr>
            <w:tcW w:w="1599" w:type="dxa"/>
            <w:vAlign w:val="bottom"/>
          </w:tcPr>
          <w:p w:rsidR="009722C5" w:rsidRPr="00A87035" w:rsidRDefault="00270A9E" w:rsidP="00902932">
            <w:pPr>
              <w:pStyle w:val="TableText"/>
              <w:jc w:val="center"/>
            </w:pPr>
            <w:r w:rsidRPr="00A87035">
              <w:t>0100 1101</w:t>
            </w:r>
          </w:p>
        </w:tc>
        <w:tc>
          <w:tcPr>
            <w:tcW w:w="1598" w:type="dxa"/>
            <w:vAlign w:val="bottom"/>
          </w:tcPr>
          <w:p w:rsidR="009722C5" w:rsidRPr="00A87035" w:rsidRDefault="00270A9E" w:rsidP="00902932">
            <w:pPr>
              <w:pStyle w:val="TableText"/>
              <w:jc w:val="center"/>
              <w:rPr>
                <w:rStyle w:val="AnswerGray"/>
              </w:rPr>
            </w:pPr>
            <w:proofErr w:type="spellStart"/>
            <w:r w:rsidRPr="00A87035">
              <w:rPr>
                <w:rStyle w:val="AnswerGray"/>
              </w:rPr>
              <w:t>4D</w:t>
            </w:r>
            <w:proofErr w:type="spellEnd"/>
          </w:p>
        </w:tc>
      </w:tr>
      <w:tr w:rsidR="009722C5" w:rsidRPr="00A87035" w:rsidTr="00902932">
        <w:trPr>
          <w:cantSplit/>
          <w:jc w:val="center"/>
        </w:trPr>
        <w:tc>
          <w:tcPr>
            <w:tcW w:w="1599" w:type="dxa"/>
            <w:vAlign w:val="bottom"/>
          </w:tcPr>
          <w:p w:rsidR="009722C5" w:rsidRPr="00A87035" w:rsidRDefault="00270A9E" w:rsidP="00902932">
            <w:pPr>
              <w:pStyle w:val="TableText"/>
              <w:jc w:val="center"/>
              <w:rPr>
                <w:rStyle w:val="AnswerGray"/>
              </w:rPr>
            </w:pPr>
            <w:r w:rsidRPr="00A87035">
              <w:rPr>
                <w:rStyle w:val="AnswerGray"/>
              </w:rPr>
              <w:t>42</w:t>
            </w:r>
          </w:p>
        </w:tc>
        <w:tc>
          <w:tcPr>
            <w:tcW w:w="1599" w:type="dxa"/>
            <w:vAlign w:val="bottom"/>
          </w:tcPr>
          <w:p w:rsidR="009722C5" w:rsidRPr="00A87035" w:rsidRDefault="00270A9E" w:rsidP="00902932">
            <w:pPr>
              <w:pStyle w:val="TableText"/>
              <w:jc w:val="center"/>
            </w:pPr>
            <w:r w:rsidRPr="00A87035">
              <w:t>0010 1010</w:t>
            </w:r>
          </w:p>
        </w:tc>
        <w:tc>
          <w:tcPr>
            <w:tcW w:w="1598" w:type="dxa"/>
            <w:vAlign w:val="bottom"/>
          </w:tcPr>
          <w:p w:rsidR="009722C5" w:rsidRPr="00A87035" w:rsidRDefault="00270A9E" w:rsidP="00902932">
            <w:pPr>
              <w:pStyle w:val="TableText"/>
              <w:jc w:val="center"/>
              <w:rPr>
                <w:rStyle w:val="AnswerGray"/>
              </w:rPr>
            </w:pPr>
            <w:r w:rsidRPr="00A87035">
              <w:rPr>
                <w:rStyle w:val="AnswerGray"/>
              </w:rPr>
              <w:t>2A</w:t>
            </w:r>
          </w:p>
        </w:tc>
      </w:tr>
      <w:tr w:rsidR="00270A9E" w:rsidRPr="00A87035" w:rsidTr="00902932">
        <w:trPr>
          <w:cantSplit/>
          <w:jc w:val="center"/>
        </w:trPr>
        <w:tc>
          <w:tcPr>
            <w:tcW w:w="1599" w:type="dxa"/>
            <w:vAlign w:val="bottom"/>
          </w:tcPr>
          <w:p w:rsidR="00270A9E" w:rsidRPr="00A87035" w:rsidRDefault="00270A9E" w:rsidP="00902932">
            <w:pPr>
              <w:pStyle w:val="TableText"/>
              <w:jc w:val="center"/>
              <w:rPr>
                <w:rStyle w:val="AnswerGray"/>
              </w:rPr>
            </w:pPr>
            <w:r w:rsidRPr="00A87035">
              <w:rPr>
                <w:rStyle w:val="AnswerGray"/>
              </w:rPr>
              <w:t>56</w:t>
            </w:r>
          </w:p>
        </w:tc>
        <w:tc>
          <w:tcPr>
            <w:tcW w:w="1599" w:type="dxa"/>
            <w:vAlign w:val="bottom"/>
          </w:tcPr>
          <w:p w:rsidR="00270A9E" w:rsidRPr="00A87035" w:rsidRDefault="00270A9E" w:rsidP="00902932">
            <w:pPr>
              <w:pStyle w:val="TableText"/>
              <w:jc w:val="center"/>
              <w:rPr>
                <w:rStyle w:val="AnswerGray"/>
              </w:rPr>
            </w:pPr>
            <w:r w:rsidRPr="00A87035">
              <w:rPr>
                <w:rStyle w:val="AnswerGray"/>
              </w:rPr>
              <w:t>0011 1000</w:t>
            </w:r>
          </w:p>
        </w:tc>
        <w:tc>
          <w:tcPr>
            <w:tcW w:w="1598" w:type="dxa"/>
            <w:vAlign w:val="bottom"/>
          </w:tcPr>
          <w:p w:rsidR="00270A9E" w:rsidRPr="00A87035" w:rsidRDefault="00270A9E" w:rsidP="00902932">
            <w:pPr>
              <w:pStyle w:val="TableText"/>
              <w:jc w:val="center"/>
            </w:pPr>
            <w:r w:rsidRPr="00A87035">
              <w:t>38</w:t>
            </w:r>
          </w:p>
        </w:tc>
      </w:tr>
      <w:tr w:rsidR="00270A9E" w:rsidRPr="00A87035" w:rsidTr="00902932">
        <w:trPr>
          <w:cantSplit/>
          <w:jc w:val="center"/>
        </w:trPr>
        <w:tc>
          <w:tcPr>
            <w:tcW w:w="1599" w:type="dxa"/>
            <w:vAlign w:val="bottom"/>
          </w:tcPr>
          <w:p w:rsidR="00270A9E" w:rsidRPr="00A87035" w:rsidRDefault="00270A9E" w:rsidP="00902932">
            <w:pPr>
              <w:pStyle w:val="TableText"/>
              <w:jc w:val="center"/>
              <w:rPr>
                <w:rStyle w:val="AnswerGray"/>
              </w:rPr>
            </w:pPr>
            <w:r w:rsidRPr="00A87035">
              <w:rPr>
                <w:rStyle w:val="AnswerGray"/>
              </w:rPr>
              <w:t>147</w:t>
            </w:r>
          </w:p>
        </w:tc>
        <w:tc>
          <w:tcPr>
            <w:tcW w:w="1599" w:type="dxa"/>
            <w:vAlign w:val="bottom"/>
          </w:tcPr>
          <w:p w:rsidR="00270A9E" w:rsidRPr="00A87035" w:rsidRDefault="00270A9E" w:rsidP="00902932">
            <w:pPr>
              <w:pStyle w:val="TableText"/>
              <w:jc w:val="center"/>
              <w:rPr>
                <w:rStyle w:val="AnswerGray"/>
              </w:rPr>
            </w:pPr>
            <w:r w:rsidRPr="00A87035">
              <w:rPr>
                <w:rStyle w:val="AnswerGray"/>
              </w:rPr>
              <w:t>1001 0011</w:t>
            </w:r>
          </w:p>
        </w:tc>
        <w:tc>
          <w:tcPr>
            <w:tcW w:w="1598" w:type="dxa"/>
            <w:vAlign w:val="bottom"/>
          </w:tcPr>
          <w:p w:rsidR="00270A9E" w:rsidRPr="00A87035" w:rsidRDefault="00270A9E" w:rsidP="00902932">
            <w:pPr>
              <w:pStyle w:val="TableText"/>
              <w:jc w:val="center"/>
            </w:pPr>
            <w:r w:rsidRPr="00A87035">
              <w:t>93</w:t>
            </w:r>
          </w:p>
        </w:tc>
      </w:tr>
      <w:tr w:rsidR="00270A9E" w:rsidRPr="00A87035" w:rsidTr="00902932">
        <w:trPr>
          <w:cantSplit/>
          <w:jc w:val="center"/>
        </w:trPr>
        <w:tc>
          <w:tcPr>
            <w:tcW w:w="1599" w:type="dxa"/>
            <w:vAlign w:val="bottom"/>
          </w:tcPr>
          <w:p w:rsidR="00270A9E" w:rsidRPr="00A87035" w:rsidRDefault="00270A9E" w:rsidP="00902932">
            <w:pPr>
              <w:pStyle w:val="TableText"/>
              <w:jc w:val="center"/>
              <w:rPr>
                <w:rStyle w:val="AnswerGray"/>
              </w:rPr>
            </w:pPr>
            <w:r w:rsidRPr="00A87035">
              <w:rPr>
                <w:rStyle w:val="AnswerGray"/>
              </w:rPr>
              <w:t>228</w:t>
            </w:r>
          </w:p>
        </w:tc>
        <w:tc>
          <w:tcPr>
            <w:tcW w:w="1599" w:type="dxa"/>
            <w:vAlign w:val="bottom"/>
          </w:tcPr>
          <w:p w:rsidR="00270A9E" w:rsidRPr="00A87035" w:rsidRDefault="00270A9E" w:rsidP="00902932">
            <w:pPr>
              <w:pStyle w:val="TableText"/>
              <w:jc w:val="center"/>
              <w:rPr>
                <w:rStyle w:val="AnswerGray"/>
              </w:rPr>
            </w:pPr>
            <w:r w:rsidRPr="00A87035">
              <w:rPr>
                <w:rStyle w:val="AnswerGray"/>
              </w:rPr>
              <w:t>1110 0100</w:t>
            </w:r>
          </w:p>
        </w:tc>
        <w:tc>
          <w:tcPr>
            <w:tcW w:w="1598" w:type="dxa"/>
            <w:vAlign w:val="bottom"/>
          </w:tcPr>
          <w:p w:rsidR="00270A9E" w:rsidRPr="00A87035" w:rsidRDefault="00270A9E" w:rsidP="00902932">
            <w:pPr>
              <w:pStyle w:val="TableText"/>
              <w:jc w:val="center"/>
            </w:pPr>
            <w:proofErr w:type="spellStart"/>
            <w:r w:rsidRPr="00A87035">
              <w:t>E4</w:t>
            </w:r>
            <w:proofErr w:type="spellEnd"/>
          </w:p>
        </w:tc>
      </w:tr>
    </w:tbl>
    <w:p w:rsidR="000D4716" w:rsidRPr="00A87035" w:rsidRDefault="000D4716" w:rsidP="000D4716">
      <w:pPr>
        <w:pStyle w:val="SubStepAlpha"/>
      </w:pPr>
      <w:r w:rsidRPr="00A87035">
        <w:t>A medida que registra los valores en la tabla de arriba, ¿observa un patrón entre los números binarios y hexadecimales?</w:t>
      </w:r>
    </w:p>
    <w:p w:rsidR="000D4716" w:rsidRPr="00A87035" w:rsidRDefault="000D4716" w:rsidP="000D4716">
      <w:pPr>
        <w:pStyle w:val="BodyTextL50"/>
      </w:pPr>
      <w:r w:rsidRPr="00A87035">
        <w:t>____________________________________________________________________________________</w:t>
      </w:r>
    </w:p>
    <w:p w:rsidR="000D4716" w:rsidRPr="00A87035" w:rsidRDefault="000D4716" w:rsidP="000D4716">
      <w:pPr>
        <w:pStyle w:val="BodyTextL50"/>
      </w:pPr>
      <w:r w:rsidRPr="00A87035">
        <w:t>____________________________________________________________________________________</w:t>
      </w:r>
    </w:p>
    <w:p w:rsidR="000D4716" w:rsidRPr="00A87035" w:rsidRDefault="00D07B89" w:rsidP="000D4716">
      <w:pPr>
        <w:pStyle w:val="BodyTextL50"/>
        <w:rPr>
          <w:rStyle w:val="AnswerGray"/>
        </w:rPr>
      </w:pPr>
      <w:r w:rsidRPr="00A87035">
        <w:rPr>
          <w:rStyle w:val="AnswerGray"/>
        </w:rPr>
        <w:t xml:space="preserve">Cada dígito hexadecimal se puede convertir en cuatro números binarios por separado. Por ejemplo, el número hexadecimal </w:t>
      </w:r>
      <w:proofErr w:type="spellStart"/>
      <w:r w:rsidRPr="00A87035">
        <w:rPr>
          <w:rStyle w:val="AnswerGray"/>
        </w:rPr>
        <w:t>0A</w:t>
      </w:r>
      <w:proofErr w:type="spellEnd"/>
      <w:r w:rsidRPr="00A87035">
        <w:rPr>
          <w:rStyle w:val="AnswerGray"/>
        </w:rPr>
        <w:t xml:space="preserve"> es 1010 en binario.</w:t>
      </w:r>
    </w:p>
    <w:p w:rsidR="005C6CD3" w:rsidRPr="00A87035" w:rsidRDefault="00757116" w:rsidP="001274DE">
      <w:pPr>
        <w:pStyle w:val="PartHead"/>
      </w:pPr>
      <w:r w:rsidRPr="00A87035">
        <w:t xml:space="preserve">Convertir direcciones de host y máscaras de subred </w:t>
      </w:r>
      <w:proofErr w:type="spellStart"/>
      <w:r w:rsidRPr="00A87035">
        <w:t>IPv4</w:t>
      </w:r>
      <w:proofErr w:type="spellEnd"/>
      <w:r w:rsidRPr="00A87035">
        <w:t xml:space="preserve"> al sistema binario</w:t>
      </w:r>
    </w:p>
    <w:p w:rsidR="001274DE" w:rsidRPr="00A87035" w:rsidRDefault="00B56B9A" w:rsidP="00FF4350">
      <w:pPr>
        <w:pStyle w:val="BodyTextL25"/>
      </w:pPr>
      <w:r w:rsidRPr="00A87035">
        <w:t>Las direcciones y las máscaras de subred de protocolo de Internet versión 4 (</w:t>
      </w:r>
      <w:proofErr w:type="spellStart"/>
      <w:r w:rsidRPr="00A87035">
        <w:t>IPv4</w:t>
      </w:r>
      <w:proofErr w:type="spellEnd"/>
      <w:r w:rsidRPr="00A87035">
        <w:t xml:space="preserve">) se representan en formato decimal punteado (4 octetos), como 192.168.1.10 y 255.255.255.0, respectivamente. Esto permite que las direcciones sean más legibles para las personas. Cada uno de los octetos decimales de la dirección o de una máscara se puede convertir en 8 bits binarios. Un octeto siempre es un conjunto de 8 bits binarios. Si los cuatro octetos se convirtieran al sistema binario, ¿cuántos bits habría? _______________________ </w:t>
      </w:r>
      <w:r w:rsidRPr="00A87035">
        <w:rPr>
          <w:rStyle w:val="AnswerGray"/>
        </w:rPr>
        <w:t>32</w:t>
      </w:r>
    </w:p>
    <w:p w:rsidR="00945C15" w:rsidRPr="00A87035" w:rsidRDefault="00DF0CDE" w:rsidP="008F4863">
      <w:pPr>
        <w:pStyle w:val="SubStepAlpha"/>
      </w:pPr>
      <w:r w:rsidRPr="00A87035">
        <w:t>Utilice la Calculadora de Windows para convertir la dirección IP 192.168.1.10 al sistema binario y registre los número binarios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2223"/>
      </w:tblGrid>
      <w:tr w:rsidR="00C041B1" w:rsidRPr="00A87035" w:rsidTr="007D25DD">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41B1" w:rsidRPr="00A87035" w:rsidRDefault="00C041B1" w:rsidP="003753F9">
            <w:pPr>
              <w:pStyle w:val="TableHeading"/>
            </w:pPr>
            <w:r w:rsidRPr="00A87035">
              <w:t>Decimal</w:t>
            </w:r>
          </w:p>
        </w:tc>
        <w:tc>
          <w:tcPr>
            <w:tcW w:w="22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41B1" w:rsidRPr="00A87035" w:rsidRDefault="00C041B1" w:rsidP="003753F9">
            <w:pPr>
              <w:pStyle w:val="TableHeading"/>
            </w:pPr>
            <w:r w:rsidRPr="00A87035">
              <w:t>Binario</w:t>
            </w:r>
          </w:p>
        </w:tc>
      </w:tr>
      <w:tr w:rsidR="00C041B1" w:rsidRPr="00A87035" w:rsidTr="007D25DD">
        <w:trPr>
          <w:cantSplit/>
          <w:jc w:val="center"/>
        </w:trPr>
        <w:tc>
          <w:tcPr>
            <w:tcW w:w="1863" w:type="dxa"/>
            <w:vAlign w:val="bottom"/>
          </w:tcPr>
          <w:p w:rsidR="00C041B1" w:rsidRPr="00A87035" w:rsidRDefault="00C041B1" w:rsidP="007D25DD">
            <w:pPr>
              <w:pStyle w:val="TableText"/>
              <w:jc w:val="center"/>
            </w:pPr>
            <w:r w:rsidRPr="00A87035">
              <w:t>192</w:t>
            </w:r>
          </w:p>
        </w:tc>
        <w:tc>
          <w:tcPr>
            <w:tcW w:w="2223" w:type="dxa"/>
            <w:vAlign w:val="bottom"/>
          </w:tcPr>
          <w:p w:rsidR="00C041B1" w:rsidRPr="00A87035" w:rsidRDefault="00C041B1" w:rsidP="007D25DD">
            <w:pPr>
              <w:pStyle w:val="TableText"/>
              <w:jc w:val="center"/>
              <w:rPr>
                <w:rStyle w:val="AnswerGray"/>
              </w:rPr>
            </w:pPr>
            <w:r w:rsidRPr="00A87035">
              <w:rPr>
                <w:rStyle w:val="AnswerGray"/>
              </w:rPr>
              <w:t>1100 0000</w:t>
            </w:r>
          </w:p>
        </w:tc>
      </w:tr>
      <w:tr w:rsidR="00C041B1" w:rsidRPr="00A87035" w:rsidTr="007D25DD">
        <w:trPr>
          <w:cantSplit/>
          <w:jc w:val="center"/>
        </w:trPr>
        <w:tc>
          <w:tcPr>
            <w:tcW w:w="1863" w:type="dxa"/>
            <w:vAlign w:val="bottom"/>
          </w:tcPr>
          <w:p w:rsidR="00C041B1" w:rsidRPr="00A87035" w:rsidRDefault="00C041B1" w:rsidP="007D25DD">
            <w:pPr>
              <w:pStyle w:val="TableText"/>
              <w:jc w:val="center"/>
            </w:pPr>
            <w:r w:rsidRPr="00A87035">
              <w:t>168</w:t>
            </w:r>
          </w:p>
        </w:tc>
        <w:tc>
          <w:tcPr>
            <w:tcW w:w="2223" w:type="dxa"/>
            <w:vAlign w:val="bottom"/>
          </w:tcPr>
          <w:p w:rsidR="00C041B1" w:rsidRPr="00A87035" w:rsidRDefault="00C041B1" w:rsidP="007D25DD">
            <w:pPr>
              <w:pStyle w:val="TableText"/>
              <w:jc w:val="center"/>
              <w:rPr>
                <w:rStyle w:val="AnswerGray"/>
              </w:rPr>
            </w:pPr>
            <w:r w:rsidRPr="00A87035">
              <w:rPr>
                <w:rStyle w:val="AnswerGray"/>
              </w:rPr>
              <w:t>1010 1000</w:t>
            </w:r>
          </w:p>
        </w:tc>
      </w:tr>
      <w:tr w:rsidR="00C041B1" w:rsidRPr="00A87035" w:rsidTr="007D25DD">
        <w:trPr>
          <w:cantSplit/>
          <w:jc w:val="center"/>
        </w:trPr>
        <w:tc>
          <w:tcPr>
            <w:tcW w:w="1863" w:type="dxa"/>
            <w:vAlign w:val="bottom"/>
          </w:tcPr>
          <w:p w:rsidR="00C041B1" w:rsidRPr="00A87035" w:rsidRDefault="00C041B1" w:rsidP="007D25DD">
            <w:pPr>
              <w:pStyle w:val="TableText"/>
              <w:jc w:val="center"/>
            </w:pPr>
            <w:r w:rsidRPr="00A87035">
              <w:t>1</w:t>
            </w:r>
          </w:p>
        </w:tc>
        <w:tc>
          <w:tcPr>
            <w:tcW w:w="2223" w:type="dxa"/>
            <w:vAlign w:val="bottom"/>
          </w:tcPr>
          <w:p w:rsidR="00C041B1" w:rsidRPr="00A87035" w:rsidRDefault="00C041B1" w:rsidP="007D25DD">
            <w:pPr>
              <w:pStyle w:val="TableText"/>
              <w:jc w:val="center"/>
              <w:rPr>
                <w:rStyle w:val="AnswerGray"/>
              </w:rPr>
            </w:pPr>
            <w:r w:rsidRPr="00A87035">
              <w:rPr>
                <w:rStyle w:val="AnswerGray"/>
              </w:rPr>
              <w:t>0000 0001</w:t>
            </w:r>
          </w:p>
        </w:tc>
      </w:tr>
      <w:tr w:rsidR="00C041B1" w:rsidRPr="00A87035" w:rsidTr="007D25DD">
        <w:trPr>
          <w:cantSplit/>
          <w:jc w:val="center"/>
        </w:trPr>
        <w:tc>
          <w:tcPr>
            <w:tcW w:w="1863" w:type="dxa"/>
            <w:vAlign w:val="bottom"/>
          </w:tcPr>
          <w:p w:rsidR="00C041B1" w:rsidRPr="00A87035" w:rsidRDefault="00C041B1" w:rsidP="007D25DD">
            <w:pPr>
              <w:pStyle w:val="TableText"/>
              <w:jc w:val="center"/>
            </w:pPr>
            <w:r w:rsidRPr="00A87035">
              <w:t>10</w:t>
            </w:r>
          </w:p>
        </w:tc>
        <w:tc>
          <w:tcPr>
            <w:tcW w:w="2223" w:type="dxa"/>
            <w:vAlign w:val="bottom"/>
          </w:tcPr>
          <w:p w:rsidR="00C041B1" w:rsidRPr="00A87035" w:rsidRDefault="00C041B1" w:rsidP="007D25DD">
            <w:pPr>
              <w:pStyle w:val="TableText"/>
              <w:jc w:val="center"/>
              <w:rPr>
                <w:rStyle w:val="AnswerGray"/>
              </w:rPr>
            </w:pPr>
            <w:r w:rsidRPr="00A87035">
              <w:rPr>
                <w:rStyle w:val="AnswerGray"/>
              </w:rPr>
              <w:t>0000 1010</w:t>
            </w:r>
          </w:p>
        </w:tc>
      </w:tr>
    </w:tbl>
    <w:p w:rsidR="00EB48C8" w:rsidRPr="00A87035" w:rsidRDefault="0071571F" w:rsidP="00EB48C8">
      <w:pPr>
        <w:pStyle w:val="SubStepAlpha"/>
      </w:pPr>
      <w:r w:rsidRPr="00A87035">
        <w:t>Las máscaras de subred, como 255.255.255.0, también se representan en formato decimal punteado. Una máscara de subred siempre consta de cuatro octetos de 8 bits, cada uno representado como un número decimal. Con la Calculadora de Windows, convierta los ocho valores posibles de octetos de máscara de subred en números binarios y regístrelos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2223"/>
      </w:tblGrid>
      <w:tr w:rsidR="00D70F84" w:rsidRPr="00A87035" w:rsidTr="00106083">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0F84" w:rsidRPr="00A87035" w:rsidRDefault="00D70F84" w:rsidP="00106083">
            <w:pPr>
              <w:pStyle w:val="TableHeading"/>
            </w:pPr>
            <w:bookmarkStart w:id="0" w:name="_GoBack"/>
            <w:bookmarkEnd w:id="0"/>
            <w:r w:rsidRPr="00A87035">
              <w:lastRenderedPageBreak/>
              <w:t>Decimal</w:t>
            </w:r>
          </w:p>
        </w:tc>
        <w:tc>
          <w:tcPr>
            <w:tcW w:w="22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0F84" w:rsidRPr="00A87035" w:rsidRDefault="00D70F84" w:rsidP="003753F9">
            <w:pPr>
              <w:pStyle w:val="TableHeading"/>
            </w:pPr>
            <w:r w:rsidRPr="00A87035">
              <w:t>Binario</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0</w:t>
            </w:r>
          </w:p>
        </w:tc>
        <w:tc>
          <w:tcPr>
            <w:tcW w:w="2223" w:type="dxa"/>
            <w:vAlign w:val="bottom"/>
          </w:tcPr>
          <w:p w:rsidR="00D70F84" w:rsidRPr="00A87035" w:rsidRDefault="00D70F84" w:rsidP="00106083">
            <w:pPr>
              <w:pStyle w:val="TableText"/>
              <w:jc w:val="center"/>
              <w:rPr>
                <w:rStyle w:val="AnswerGray"/>
              </w:rPr>
            </w:pPr>
            <w:r w:rsidRPr="00A87035">
              <w:rPr>
                <w:rStyle w:val="AnswerGray"/>
              </w:rPr>
              <w:t>0000 0000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128</w:t>
            </w:r>
          </w:p>
        </w:tc>
        <w:tc>
          <w:tcPr>
            <w:tcW w:w="2223" w:type="dxa"/>
            <w:vAlign w:val="bottom"/>
          </w:tcPr>
          <w:p w:rsidR="00D70F84" w:rsidRPr="00A87035" w:rsidRDefault="00D70F84" w:rsidP="00106083">
            <w:pPr>
              <w:pStyle w:val="TableText"/>
              <w:jc w:val="center"/>
              <w:rPr>
                <w:rStyle w:val="AnswerGray"/>
              </w:rPr>
            </w:pPr>
            <w:r w:rsidRPr="00A87035">
              <w:rPr>
                <w:rStyle w:val="AnswerGray"/>
              </w:rPr>
              <w:t>1000 0000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192</w:t>
            </w:r>
          </w:p>
        </w:tc>
        <w:tc>
          <w:tcPr>
            <w:tcW w:w="2223" w:type="dxa"/>
            <w:vAlign w:val="bottom"/>
          </w:tcPr>
          <w:p w:rsidR="00D70F84" w:rsidRPr="00A87035" w:rsidRDefault="00D70F84" w:rsidP="00106083">
            <w:pPr>
              <w:pStyle w:val="TableText"/>
              <w:jc w:val="center"/>
              <w:rPr>
                <w:rStyle w:val="AnswerGray"/>
              </w:rPr>
            </w:pPr>
            <w:r w:rsidRPr="00A87035">
              <w:rPr>
                <w:rStyle w:val="AnswerGray"/>
              </w:rPr>
              <w:t>1100 0000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224</w:t>
            </w:r>
          </w:p>
        </w:tc>
        <w:tc>
          <w:tcPr>
            <w:tcW w:w="2223" w:type="dxa"/>
            <w:vAlign w:val="bottom"/>
          </w:tcPr>
          <w:p w:rsidR="00D70F84" w:rsidRPr="00A87035" w:rsidRDefault="00D70F84" w:rsidP="00106083">
            <w:pPr>
              <w:pStyle w:val="TableText"/>
              <w:jc w:val="center"/>
              <w:rPr>
                <w:rStyle w:val="AnswerGray"/>
              </w:rPr>
            </w:pPr>
            <w:r w:rsidRPr="00A87035">
              <w:rPr>
                <w:rStyle w:val="AnswerGray"/>
              </w:rPr>
              <w:t>1110 0000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240</w:t>
            </w:r>
          </w:p>
        </w:tc>
        <w:tc>
          <w:tcPr>
            <w:tcW w:w="2223" w:type="dxa"/>
            <w:vAlign w:val="bottom"/>
          </w:tcPr>
          <w:p w:rsidR="00D70F84" w:rsidRPr="00A87035" w:rsidRDefault="00D70F84" w:rsidP="00106083">
            <w:pPr>
              <w:pStyle w:val="TableText"/>
              <w:jc w:val="center"/>
              <w:rPr>
                <w:rStyle w:val="AnswerGray"/>
              </w:rPr>
            </w:pPr>
            <w:r w:rsidRPr="00A87035">
              <w:rPr>
                <w:rStyle w:val="AnswerGray"/>
              </w:rPr>
              <w:t>1111 0000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248</w:t>
            </w:r>
          </w:p>
        </w:tc>
        <w:tc>
          <w:tcPr>
            <w:tcW w:w="2223" w:type="dxa"/>
            <w:vAlign w:val="bottom"/>
          </w:tcPr>
          <w:p w:rsidR="00D70F84" w:rsidRPr="00A87035" w:rsidRDefault="00D70F84" w:rsidP="00106083">
            <w:pPr>
              <w:pStyle w:val="TableText"/>
              <w:jc w:val="center"/>
              <w:rPr>
                <w:rStyle w:val="AnswerGray"/>
              </w:rPr>
            </w:pPr>
            <w:r w:rsidRPr="00A87035">
              <w:rPr>
                <w:rStyle w:val="AnswerGray"/>
              </w:rPr>
              <w:t>1111 1000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252</w:t>
            </w:r>
          </w:p>
        </w:tc>
        <w:tc>
          <w:tcPr>
            <w:tcW w:w="2223" w:type="dxa"/>
            <w:vAlign w:val="bottom"/>
          </w:tcPr>
          <w:p w:rsidR="00D70F84" w:rsidRPr="00A87035" w:rsidRDefault="00D70F84" w:rsidP="00106083">
            <w:pPr>
              <w:pStyle w:val="TableText"/>
              <w:jc w:val="center"/>
              <w:rPr>
                <w:rStyle w:val="AnswerGray"/>
              </w:rPr>
            </w:pPr>
            <w:r w:rsidRPr="00A87035">
              <w:rPr>
                <w:rStyle w:val="AnswerGray"/>
              </w:rPr>
              <w:t>1111 1100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254</w:t>
            </w:r>
          </w:p>
        </w:tc>
        <w:tc>
          <w:tcPr>
            <w:tcW w:w="2223" w:type="dxa"/>
            <w:vAlign w:val="bottom"/>
          </w:tcPr>
          <w:p w:rsidR="00D70F84" w:rsidRPr="00A87035" w:rsidRDefault="00D70F84" w:rsidP="00106083">
            <w:pPr>
              <w:pStyle w:val="TableText"/>
              <w:jc w:val="center"/>
              <w:rPr>
                <w:rStyle w:val="AnswerGray"/>
              </w:rPr>
            </w:pPr>
            <w:r w:rsidRPr="00A87035">
              <w:rPr>
                <w:rStyle w:val="AnswerGray"/>
              </w:rPr>
              <w:t>1111 1110</w:t>
            </w:r>
          </w:p>
        </w:tc>
      </w:tr>
      <w:tr w:rsidR="00D70F84" w:rsidRPr="00A87035" w:rsidTr="00106083">
        <w:trPr>
          <w:cantSplit/>
          <w:jc w:val="center"/>
        </w:trPr>
        <w:tc>
          <w:tcPr>
            <w:tcW w:w="1863" w:type="dxa"/>
            <w:vAlign w:val="bottom"/>
          </w:tcPr>
          <w:p w:rsidR="00D70F84" w:rsidRPr="00A87035" w:rsidRDefault="00D70F84" w:rsidP="00106083">
            <w:pPr>
              <w:pStyle w:val="TableText"/>
              <w:jc w:val="center"/>
            </w:pPr>
            <w:r w:rsidRPr="00A87035">
              <w:t>255</w:t>
            </w:r>
          </w:p>
        </w:tc>
        <w:tc>
          <w:tcPr>
            <w:tcW w:w="2223" w:type="dxa"/>
            <w:vAlign w:val="bottom"/>
          </w:tcPr>
          <w:p w:rsidR="00D70F84" w:rsidRPr="00A87035" w:rsidRDefault="00D70F84" w:rsidP="00106083">
            <w:pPr>
              <w:pStyle w:val="TableText"/>
              <w:jc w:val="center"/>
              <w:rPr>
                <w:rStyle w:val="AnswerGray"/>
              </w:rPr>
            </w:pPr>
            <w:r w:rsidRPr="00A87035">
              <w:rPr>
                <w:rStyle w:val="AnswerGray"/>
              </w:rPr>
              <w:t>1111 1111</w:t>
            </w:r>
          </w:p>
        </w:tc>
      </w:tr>
    </w:tbl>
    <w:p w:rsidR="00E15DCE" w:rsidRPr="00A87035" w:rsidRDefault="00E15DCE" w:rsidP="00410BB1">
      <w:pPr>
        <w:pStyle w:val="SubStepAlpha"/>
      </w:pPr>
      <w:r w:rsidRPr="00A87035">
        <w:t xml:space="preserve">Con la combinación de la dirección </w:t>
      </w:r>
      <w:proofErr w:type="spellStart"/>
      <w:r w:rsidRPr="00A87035">
        <w:t>IPv4</w:t>
      </w:r>
      <w:proofErr w:type="spellEnd"/>
      <w:r w:rsidRPr="00A87035">
        <w:t xml:space="preserve"> y la máscara de subred, se puede determinar la porción de red y también se puede calcular la cantidad de hosts disponibles en una subred </w:t>
      </w:r>
      <w:proofErr w:type="spellStart"/>
      <w:r w:rsidRPr="00A87035">
        <w:t>IPv4</w:t>
      </w:r>
      <w:proofErr w:type="spellEnd"/>
      <w:r w:rsidRPr="00A87035">
        <w:t xml:space="preserve"> dada. Este proceso se examina en la parte 4.</w:t>
      </w:r>
    </w:p>
    <w:p w:rsidR="004332D8" w:rsidRPr="00A87035" w:rsidRDefault="004332D8" w:rsidP="00FF4350">
      <w:pPr>
        <w:pStyle w:val="PartHead"/>
      </w:pPr>
      <w:r w:rsidRPr="00A87035">
        <w:t>Determinar la cantidad de hosts en una red mediante potencias de</w:t>
      </w:r>
      <w:r w:rsidR="00FF4350">
        <w:t> </w:t>
      </w:r>
      <w:r w:rsidRPr="00A87035">
        <w:t>2</w:t>
      </w:r>
    </w:p>
    <w:p w:rsidR="004332D8" w:rsidRPr="00A87035" w:rsidRDefault="004332D8" w:rsidP="00AA7B2E">
      <w:pPr>
        <w:pStyle w:val="BodyTextL25"/>
      </w:pPr>
      <w:r w:rsidRPr="00A87035">
        <w:t xml:space="preserve">Dadas una dirección de red </w:t>
      </w:r>
      <w:proofErr w:type="spellStart"/>
      <w:r w:rsidRPr="00A87035">
        <w:t>IPv4</w:t>
      </w:r>
      <w:proofErr w:type="spellEnd"/>
      <w:r w:rsidRPr="00A87035">
        <w:t xml:space="preserve"> y una máscara de subred, se pueden determinar la porción de red y la cantidad de hosts disponibles en la red.</w:t>
      </w:r>
    </w:p>
    <w:p w:rsidR="00086294" w:rsidRPr="00A87035" w:rsidRDefault="004B21A5" w:rsidP="00086294">
      <w:pPr>
        <w:pStyle w:val="SubStepAlpha"/>
      </w:pPr>
      <w:r w:rsidRPr="00A87035">
        <w:t>Para calcular la cantidad de hosts en una red, debe determinar la porción de red y de host de la dirección.</w:t>
      </w:r>
    </w:p>
    <w:p w:rsidR="004332D8" w:rsidRPr="00A87035" w:rsidRDefault="004332D8" w:rsidP="001C795A">
      <w:pPr>
        <w:pStyle w:val="BodyTextL50"/>
      </w:pPr>
      <w:r w:rsidRPr="00A87035">
        <w:t>Con el ejemplo de la dirección 192.168.1.10 y su máscara de subred 255.255.248.0, la dirección y la máscara de subred se convierten en números binarios. Haga coincidir los bits a medida que registra las conversiones en números binarios.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860"/>
        <w:gridCol w:w="4939"/>
      </w:tblGrid>
      <w:tr w:rsidR="00AA7B2E" w:rsidRPr="00A87035" w:rsidTr="00A60259">
        <w:trPr>
          <w:cantSplit/>
          <w:jc w:val="center"/>
        </w:trPr>
        <w:tc>
          <w:tcPr>
            <w:tcW w:w="38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B2E" w:rsidRPr="00A87035" w:rsidRDefault="00AA7B2E" w:rsidP="00106083">
            <w:pPr>
              <w:pStyle w:val="TableHeading"/>
            </w:pPr>
            <w:r w:rsidRPr="00A87035">
              <w:t>Dirección IP y máscara de subred en sistema decimal</w:t>
            </w:r>
          </w:p>
        </w:tc>
        <w:tc>
          <w:tcPr>
            <w:tcW w:w="493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B2E" w:rsidRPr="00A87035" w:rsidRDefault="00AA7B2E" w:rsidP="00106083">
            <w:pPr>
              <w:pStyle w:val="TableHeading"/>
            </w:pPr>
            <w:r w:rsidRPr="00A87035">
              <w:t>Dirección IP y máscara de subred en sistema binario</w:t>
            </w:r>
          </w:p>
        </w:tc>
      </w:tr>
      <w:tr w:rsidR="00AA7B2E" w:rsidRPr="00A87035" w:rsidTr="00A60259">
        <w:trPr>
          <w:cantSplit/>
          <w:jc w:val="center"/>
        </w:trPr>
        <w:tc>
          <w:tcPr>
            <w:tcW w:w="3860" w:type="dxa"/>
            <w:vAlign w:val="bottom"/>
          </w:tcPr>
          <w:p w:rsidR="00AA7B2E" w:rsidRPr="00A87035" w:rsidRDefault="00AA7B2E" w:rsidP="00564BF7">
            <w:pPr>
              <w:pStyle w:val="TableText"/>
            </w:pPr>
            <w:r w:rsidRPr="00A87035">
              <w:t>192.168.1.10</w:t>
            </w:r>
          </w:p>
        </w:tc>
        <w:tc>
          <w:tcPr>
            <w:tcW w:w="4939" w:type="dxa"/>
            <w:vAlign w:val="bottom"/>
          </w:tcPr>
          <w:p w:rsidR="00AA7B2E" w:rsidRPr="00A87035" w:rsidRDefault="00AA7B2E" w:rsidP="00951F49">
            <w:pPr>
              <w:pStyle w:val="TableText"/>
              <w:rPr>
                <w:rStyle w:val="AnswerGray"/>
              </w:rPr>
            </w:pPr>
            <w:r w:rsidRPr="00A87035">
              <w:rPr>
                <w:rStyle w:val="AnswerGray"/>
              </w:rPr>
              <w:t>11000000.10101000.00000001.00001010</w:t>
            </w:r>
          </w:p>
        </w:tc>
      </w:tr>
      <w:tr w:rsidR="00AA7B2E" w:rsidRPr="00A87035" w:rsidTr="00A60259">
        <w:trPr>
          <w:cantSplit/>
          <w:jc w:val="center"/>
        </w:trPr>
        <w:tc>
          <w:tcPr>
            <w:tcW w:w="3860" w:type="dxa"/>
            <w:vAlign w:val="bottom"/>
          </w:tcPr>
          <w:p w:rsidR="00AA7B2E" w:rsidRPr="00A87035" w:rsidRDefault="00AA7B2E" w:rsidP="00564BF7">
            <w:pPr>
              <w:pStyle w:val="TableText"/>
            </w:pPr>
            <w:r w:rsidRPr="00A87035">
              <w:t>255.255.248.0</w:t>
            </w:r>
          </w:p>
        </w:tc>
        <w:tc>
          <w:tcPr>
            <w:tcW w:w="4939" w:type="dxa"/>
            <w:vAlign w:val="bottom"/>
          </w:tcPr>
          <w:p w:rsidR="00AA7B2E" w:rsidRPr="00A87035" w:rsidRDefault="00AA7B2E" w:rsidP="00951F49">
            <w:pPr>
              <w:pStyle w:val="TableText"/>
              <w:rPr>
                <w:rStyle w:val="AnswerGray"/>
              </w:rPr>
            </w:pPr>
            <w:r w:rsidRPr="00A87035">
              <w:rPr>
                <w:rStyle w:val="AnswerGray"/>
              </w:rPr>
              <w:t>11111111.11111111.11111000.00000000</w:t>
            </w:r>
          </w:p>
        </w:tc>
      </w:tr>
    </w:tbl>
    <w:p w:rsidR="003C3939" w:rsidRPr="00A87035" w:rsidRDefault="009F6255" w:rsidP="00750E36">
      <w:pPr>
        <w:pStyle w:val="BodyTextL50"/>
      </w:pPr>
      <w:r w:rsidRPr="00A87035">
        <w:t>Como los primeros 21 bits de la máscara de subred son números uno consecutivos, los primeros 21 bits correspondientes de la dirección IP en binario son “110000001010100000000”, que representan la porción de red de la dirección. Los 11 bits restantes son “00100001010”, que representan la porción de host de la dirección.</w:t>
      </w:r>
    </w:p>
    <w:p w:rsidR="005D522B" w:rsidRPr="00A87035" w:rsidRDefault="009F6255" w:rsidP="00750E36">
      <w:pPr>
        <w:pStyle w:val="BodyTextL50"/>
      </w:pPr>
      <w:r w:rsidRPr="00A87035">
        <w:t>¿Cuál es el número de red decimal y binario para esta dirección?</w:t>
      </w:r>
    </w:p>
    <w:p w:rsidR="003C3939" w:rsidRPr="00A87035" w:rsidRDefault="003C3939" w:rsidP="00750E36">
      <w:pPr>
        <w:pStyle w:val="BodyTextL50"/>
      </w:pPr>
      <w:r w:rsidRPr="00A87035">
        <w:t>____________________________________________________________________________________</w:t>
      </w:r>
    </w:p>
    <w:p w:rsidR="003C3939" w:rsidRPr="00A87035" w:rsidRDefault="005D522B" w:rsidP="00624FE9">
      <w:pPr>
        <w:pStyle w:val="BodyTextL50"/>
        <w:tabs>
          <w:tab w:val="left" w:pos="4850"/>
        </w:tabs>
        <w:rPr>
          <w:rStyle w:val="AnswerGray"/>
        </w:rPr>
      </w:pPr>
      <w:r w:rsidRPr="00A87035">
        <w:rPr>
          <w:rStyle w:val="AnswerGray"/>
        </w:rPr>
        <w:t>Decimal: 192.168.0.0; binario: 11000000.10101000.00000000.00000000</w:t>
      </w:r>
    </w:p>
    <w:p w:rsidR="005D522B" w:rsidRPr="00A87035" w:rsidRDefault="009F6255" w:rsidP="005D522B">
      <w:pPr>
        <w:pStyle w:val="BodyTextL50"/>
      </w:pPr>
      <w:r w:rsidRPr="00A87035">
        <w:t>¿Cuál es la porción de host decimal y binaria para esta dirección?</w:t>
      </w:r>
    </w:p>
    <w:p w:rsidR="00820DBC" w:rsidRPr="00A87035" w:rsidRDefault="00820DBC" w:rsidP="005D522B">
      <w:pPr>
        <w:pStyle w:val="BodyTextL50"/>
      </w:pPr>
      <w:r w:rsidRPr="00A87035">
        <w:t>____________________________________________________________________________________</w:t>
      </w:r>
    </w:p>
    <w:p w:rsidR="005D522B" w:rsidRPr="00A87035" w:rsidRDefault="005D522B" w:rsidP="005D522B">
      <w:pPr>
        <w:pStyle w:val="BodyTextL50"/>
      </w:pPr>
      <w:r w:rsidRPr="00A87035">
        <w:rPr>
          <w:rStyle w:val="AnswerGray"/>
        </w:rPr>
        <w:t>Decimal: 1.10; binaria: 00000000.00000000.00000001.00001010</w:t>
      </w:r>
    </w:p>
    <w:p w:rsidR="00AA7B2E" w:rsidRPr="00A87035" w:rsidRDefault="001C795A" w:rsidP="00750E36">
      <w:pPr>
        <w:pStyle w:val="BodyTextL50"/>
      </w:pPr>
      <w:r w:rsidRPr="00A87035">
        <w:lastRenderedPageBreak/>
        <w:t xml:space="preserve">Como el número de red y la dirección de difusión utilizan dos direcciones de la subred, la fórmula para determinar la cantidad de hosts disponibles en una subred </w:t>
      </w:r>
      <w:proofErr w:type="spellStart"/>
      <w:r w:rsidRPr="00A87035">
        <w:t>IPv4</w:t>
      </w:r>
      <w:proofErr w:type="spellEnd"/>
      <w:r w:rsidRPr="00A87035">
        <w:t xml:space="preserve"> es el número 2 elevado a la potencia de la cantidad de bits de host disponibles, menos 2:</w:t>
      </w:r>
    </w:p>
    <w:p w:rsidR="001C795A" w:rsidRPr="00A87035" w:rsidRDefault="001C795A" w:rsidP="001C795A">
      <w:pPr>
        <w:pStyle w:val="BodyTextL50"/>
        <w:jc w:val="center"/>
        <w:rPr>
          <w:rFonts w:ascii="Courier New" w:hAnsi="Courier New" w:cs="Courier New"/>
        </w:rPr>
      </w:pPr>
      <w:r w:rsidRPr="00A87035">
        <w:t>Cantidad de hosts disponibles = 2</w:t>
      </w:r>
      <w:r w:rsidRPr="00A87035">
        <w:rPr>
          <w:vertAlign w:val="superscript"/>
        </w:rPr>
        <w:t xml:space="preserve"> (cantidad de bits de host)</w:t>
      </w:r>
      <w:r w:rsidRPr="00A87035">
        <w:t xml:space="preserve"> – 2</w:t>
      </w:r>
    </w:p>
    <w:p w:rsidR="001C795A" w:rsidRPr="00A87035" w:rsidRDefault="001C795A" w:rsidP="001C795A">
      <w:pPr>
        <w:pStyle w:val="SubStepAlpha"/>
      </w:pPr>
      <w:r w:rsidRPr="00A87035">
        <w:t xml:space="preserve">En la Calculadora de Windows, haga clic en el menú </w:t>
      </w:r>
      <w:r w:rsidRPr="00A87035">
        <w:rPr>
          <w:b/>
        </w:rPr>
        <w:t>Ver</w:t>
      </w:r>
      <w:r w:rsidRPr="00A87035">
        <w:t xml:space="preserve"> y seleccione </w:t>
      </w:r>
      <w:r w:rsidRPr="00A87035">
        <w:rPr>
          <w:b/>
        </w:rPr>
        <w:t>Científica</w:t>
      </w:r>
      <w:r w:rsidRPr="00A87035">
        <w:t xml:space="preserve"> para cambiar al modo Científica.</w:t>
      </w:r>
    </w:p>
    <w:p w:rsidR="001C795A" w:rsidRPr="00A87035" w:rsidRDefault="001C795A" w:rsidP="001C795A">
      <w:pPr>
        <w:pStyle w:val="SubStepAlpha"/>
      </w:pPr>
      <w:r w:rsidRPr="00A87035">
        <w:t xml:space="preserve">Escriba </w:t>
      </w:r>
      <w:r w:rsidRPr="00A87035">
        <w:rPr>
          <w:b/>
        </w:rPr>
        <w:t>2</w:t>
      </w:r>
      <w:r w:rsidRPr="00A87035">
        <w:t xml:space="preserve">. Haga clic en la tecla </w:t>
      </w:r>
      <w:proofErr w:type="spellStart"/>
      <w:r w:rsidRPr="00A87035">
        <w:rPr>
          <w:b/>
        </w:rPr>
        <w:t>x</w:t>
      </w:r>
      <w:r w:rsidRPr="00A87035">
        <w:rPr>
          <w:b/>
          <w:vertAlign w:val="superscript"/>
        </w:rPr>
        <w:t>y</w:t>
      </w:r>
      <w:proofErr w:type="spellEnd"/>
      <w:r w:rsidRPr="00A87035">
        <w:t>. Esta tecla permite elevar un número a una potencia.</w:t>
      </w:r>
    </w:p>
    <w:p w:rsidR="001C795A" w:rsidRPr="00A87035" w:rsidRDefault="001C795A" w:rsidP="001C795A">
      <w:pPr>
        <w:pStyle w:val="SubStepAlpha"/>
      </w:pPr>
      <w:r w:rsidRPr="00A87035">
        <w:t xml:space="preserve">Escriba </w:t>
      </w:r>
      <w:r w:rsidRPr="00A87035">
        <w:rPr>
          <w:b/>
        </w:rPr>
        <w:t>11</w:t>
      </w:r>
      <w:r w:rsidRPr="00A87035">
        <w:t xml:space="preserve">. Haga clic en </w:t>
      </w:r>
      <w:r w:rsidRPr="00A87035">
        <w:rPr>
          <w:b/>
        </w:rPr>
        <w:t>=</w:t>
      </w:r>
      <w:r w:rsidRPr="00A87035">
        <w:t xml:space="preserve"> o presione Entrar en el teclado para obtener la respuesta.</w:t>
      </w:r>
    </w:p>
    <w:p w:rsidR="001C795A" w:rsidRPr="00A87035" w:rsidRDefault="008A3348" w:rsidP="001C795A">
      <w:pPr>
        <w:pStyle w:val="SubStepAlpha"/>
      </w:pPr>
      <w:r w:rsidRPr="00A87035">
        <w:t xml:space="preserve">Reste </w:t>
      </w:r>
      <w:r w:rsidRPr="00A87035">
        <w:rPr>
          <w:b/>
        </w:rPr>
        <w:t>2</w:t>
      </w:r>
      <w:r w:rsidRPr="00A87035">
        <w:t xml:space="preserve"> de la respuesta. Si lo desea, puede utilizar la Calculadora.</w:t>
      </w:r>
    </w:p>
    <w:p w:rsidR="001C795A" w:rsidRPr="00A87035" w:rsidRDefault="001C795A" w:rsidP="001C795A">
      <w:pPr>
        <w:pStyle w:val="SubStepAlpha"/>
      </w:pPr>
      <w:r w:rsidRPr="00A87035">
        <w:t>En este ejemplo, hay 2046 hosts disponibles en esta red (2</w:t>
      </w:r>
      <w:r w:rsidRPr="00A87035">
        <w:rPr>
          <w:vertAlign w:val="superscript"/>
        </w:rPr>
        <w:t>11</w:t>
      </w:r>
      <w:r w:rsidRPr="00A87035">
        <w:t xml:space="preserve"> – 2).</w:t>
      </w:r>
    </w:p>
    <w:p w:rsidR="007A055C" w:rsidRPr="00A87035" w:rsidRDefault="007A055C" w:rsidP="001C795A">
      <w:pPr>
        <w:pStyle w:val="SubStepAlpha"/>
      </w:pPr>
      <w:r w:rsidRPr="00A87035">
        <w:t>Dada la cantidad de bits de host, determine la cantidad de hosts disponibles y regístrela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182"/>
        <w:gridCol w:w="2811"/>
      </w:tblGrid>
      <w:tr w:rsidR="007A055C" w:rsidRPr="00A87035" w:rsidTr="00106083">
        <w:trPr>
          <w:cantSplit/>
          <w:jc w:val="center"/>
        </w:trPr>
        <w:tc>
          <w:tcPr>
            <w:tcW w:w="3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A055C" w:rsidRPr="00A87035" w:rsidRDefault="007A055C" w:rsidP="00106083">
            <w:pPr>
              <w:pStyle w:val="TableHeading"/>
            </w:pPr>
            <w:r w:rsidRPr="00A87035">
              <w:t>Cantidad de bits de host disponibles</w:t>
            </w:r>
          </w:p>
        </w:tc>
        <w:tc>
          <w:tcPr>
            <w:tcW w:w="28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A055C" w:rsidRPr="00A87035" w:rsidRDefault="007A055C" w:rsidP="00106083">
            <w:pPr>
              <w:pStyle w:val="TableHeading"/>
            </w:pPr>
            <w:r w:rsidRPr="00A87035">
              <w:t>Cantidad de hosts disponibles</w:t>
            </w:r>
          </w:p>
        </w:tc>
      </w:tr>
      <w:tr w:rsidR="007A055C" w:rsidRPr="00A87035" w:rsidTr="00106083">
        <w:trPr>
          <w:cantSplit/>
          <w:jc w:val="center"/>
        </w:trPr>
        <w:tc>
          <w:tcPr>
            <w:tcW w:w="3182" w:type="dxa"/>
            <w:vAlign w:val="bottom"/>
          </w:tcPr>
          <w:p w:rsidR="007A055C" w:rsidRPr="00A87035" w:rsidRDefault="007A055C" w:rsidP="00106083">
            <w:pPr>
              <w:pStyle w:val="TableText"/>
              <w:jc w:val="center"/>
            </w:pPr>
            <w:r w:rsidRPr="00A87035">
              <w:t>5</w:t>
            </w:r>
          </w:p>
        </w:tc>
        <w:tc>
          <w:tcPr>
            <w:tcW w:w="2811" w:type="dxa"/>
            <w:vAlign w:val="bottom"/>
          </w:tcPr>
          <w:p w:rsidR="007A055C" w:rsidRPr="00A87035" w:rsidRDefault="007A055C" w:rsidP="00106083">
            <w:pPr>
              <w:pStyle w:val="TableText"/>
              <w:jc w:val="center"/>
              <w:rPr>
                <w:rStyle w:val="AnswerGray"/>
              </w:rPr>
            </w:pPr>
            <w:r w:rsidRPr="00A87035">
              <w:rPr>
                <w:rStyle w:val="AnswerGray"/>
              </w:rPr>
              <w:t>30</w:t>
            </w:r>
          </w:p>
        </w:tc>
      </w:tr>
      <w:tr w:rsidR="007A055C" w:rsidRPr="00A87035" w:rsidTr="00106083">
        <w:trPr>
          <w:cantSplit/>
          <w:jc w:val="center"/>
        </w:trPr>
        <w:tc>
          <w:tcPr>
            <w:tcW w:w="3182" w:type="dxa"/>
            <w:vAlign w:val="bottom"/>
          </w:tcPr>
          <w:p w:rsidR="007A055C" w:rsidRPr="00A87035" w:rsidRDefault="007A055C" w:rsidP="00106083">
            <w:pPr>
              <w:pStyle w:val="TableText"/>
              <w:jc w:val="center"/>
            </w:pPr>
            <w:r w:rsidRPr="00A87035">
              <w:t>14</w:t>
            </w:r>
          </w:p>
        </w:tc>
        <w:tc>
          <w:tcPr>
            <w:tcW w:w="2811" w:type="dxa"/>
            <w:vAlign w:val="bottom"/>
          </w:tcPr>
          <w:p w:rsidR="007A055C" w:rsidRPr="00A87035" w:rsidRDefault="007A055C" w:rsidP="00106083">
            <w:pPr>
              <w:pStyle w:val="TableText"/>
              <w:jc w:val="center"/>
              <w:rPr>
                <w:rStyle w:val="AnswerGray"/>
              </w:rPr>
            </w:pPr>
            <w:r w:rsidRPr="00A87035">
              <w:rPr>
                <w:rStyle w:val="AnswerGray"/>
              </w:rPr>
              <w:t>16382</w:t>
            </w:r>
          </w:p>
        </w:tc>
      </w:tr>
      <w:tr w:rsidR="007A055C" w:rsidRPr="00A87035" w:rsidTr="00106083">
        <w:trPr>
          <w:cantSplit/>
          <w:jc w:val="center"/>
        </w:trPr>
        <w:tc>
          <w:tcPr>
            <w:tcW w:w="3182" w:type="dxa"/>
            <w:vAlign w:val="bottom"/>
          </w:tcPr>
          <w:p w:rsidR="007A055C" w:rsidRPr="00A87035" w:rsidRDefault="007A055C" w:rsidP="00106083">
            <w:pPr>
              <w:pStyle w:val="TableText"/>
              <w:jc w:val="center"/>
            </w:pPr>
            <w:r w:rsidRPr="00A87035">
              <w:t>24</w:t>
            </w:r>
          </w:p>
        </w:tc>
        <w:tc>
          <w:tcPr>
            <w:tcW w:w="2811" w:type="dxa"/>
            <w:vAlign w:val="bottom"/>
          </w:tcPr>
          <w:p w:rsidR="007A055C" w:rsidRPr="00A87035" w:rsidRDefault="007A055C" w:rsidP="00106083">
            <w:pPr>
              <w:pStyle w:val="TableText"/>
              <w:jc w:val="center"/>
              <w:rPr>
                <w:rStyle w:val="AnswerGray"/>
              </w:rPr>
            </w:pPr>
            <w:r w:rsidRPr="00A87035">
              <w:rPr>
                <w:rStyle w:val="AnswerGray"/>
              </w:rPr>
              <w:t>16777214</w:t>
            </w:r>
          </w:p>
        </w:tc>
      </w:tr>
      <w:tr w:rsidR="007A055C" w:rsidRPr="00A87035" w:rsidTr="00106083">
        <w:trPr>
          <w:cantSplit/>
          <w:jc w:val="center"/>
        </w:trPr>
        <w:tc>
          <w:tcPr>
            <w:tcW w:w="3182" w:type="dxa"/>
            <w:vAlign w:val="bottom"/>
          </w:tcPr>
          <w:p w:rsidR="007A055C" w:rsidRPr="00A87035" w:rsidRDefault="007A055C" w:rsidP="00106083">
            <w:pPr>
              <w:pStyle w:val="TableText"/>
              <w:jc w:val="center"/>
            </w:pPr>
            <w:r w:rsidRPr="00A87035">
              <w:t>10</w:t>
            </w:r>
          </w:p>
        </w:tc>
        <w:tc>
          <w:tcPr>
            <w:tcW w:w="2811" w:type="dxa"/>
            <w:vAlign w:val="bottom"/>
          </w:tcPr>
          <w:p w:rsidR="007A055C" w:rsidRPr="00A87035" w:rsidRDefault="007A055C" w:rsidP="00106083">
            <w:pPr>
              <w:pStyle w:val="TableText"/>
              <w:jc w:val="center"/>
              <w:rPr>
                <w:rStyle w:val="AnswerGray"/>
              </w:rPr>
            </w:pPr>
            <w:r w:rsidRPr="00A87035">
              <w:rPr>
                <w:rStyle w:val="AnswerGray"/>
              </w:rPr>
              <w:t>1022</w:t>
            </w:r>
          </w:p>
        </w:tc>
      </w:tr>
    </w:tbl>
    <w:p w:rsidR="007A055C" w:rsidRPr="00A87035" w:rsidRDefault="00284D9F" w:rsidP="001C795A">
      <w:pPr>
        <w:pStyle w:val="SubStepAlpha"/>
      </w:pPr>
      <w:r w:rsidRPr="00A87035">
        <w:t>Para una máscara de subred dada, determine la cantidad de hosts disponibles y regístrela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83"/>
        <w:gridCol w:w="4431"/>
        <w:gridCol w:w="1442"/>
        <w:gridCol w:w="1440"/>
      </w:tblGrid>
      <w:tr w:rsidR="0098189F" w:rsidRPr="00A87035" w:rsidTr="00106083">
        <w:trPr>
          <w:cantSplit/>
          <w:jc w:val="center"/>
        </w:trPr>
        <w:tc>
          <w:tcPr>
            <w:tcW w:w="17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A87035" w:rsidRDefault="0098189F" w:rsidP="00106083">
            <w:pPr>
              <w:pStyle w:val="TableHeading"/>
            </w:pPr>
            <w:r w:rsidRPr="00A87035">
              <w:t>Máscara de subred</w:t>
            </w:r>
          </w:p>
        </w:tc>
        <w:tc>
          <w:tcPr>
            <w:tcW w:w="44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A87035" w:rsidRDefault="0098189F" w:rsidP="00106083">
            <w:pPr>
              <w:pStyle w:val="TableHeading"/>
            </w:pPr>
            <w:r w:rsidRPr="00A87035">
              <w:t>Máscara de subred binaria</w:t>
            </w:r>
          </w:p>
        </w:tc>
        <w:tc>
          <w:tcPr>
            <w:tcW w:w="14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A87035" w:rsidRDefault="0098189F" w:rsidP="00106083">
            <w:pPr>
              <w:pStyle w:val="TableHeading"/>
            </w:pPr>
            <w:r w:rsidRPr="00A87035">
              <w:t>Cantidad de bits de host disponibles</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A87035" w:rsidRDefault="0098189F" w:rsidP="00106083">
            <w:pPr>
              <w:pStyle w:val="TableHeading"/>
            </w:pPr>
            <w:r w:rsidRPr="00A87035">
              <w:t>Cantidad de hosts disponibles</w:t>
            </w:r>
          </w:p>
        </w:tc>
      </w:tr>
      <w:tr w:rsidR="0098189F" w:rsidRPr="00A87035" w:rsidTr="00106083">
        <w:trPr>
          <w:cantSplit/>
          <w:jc w:val="center"/>
        </w:trPr>
        <w:tc>
          <w:tcPr>
            <w:tcW w:w="1783" w:type="dxa"/>
            <w:vAlign w:val="bottom"/>
          </w:tcPr>
          <w:p w:rsidR="0098189F" w:rsidRPr="00A87035" w:rsidRDefault="0098189F" w:rsidP="00106083">
            <w:pPr>
              <w:pStyle w:val="TableText"/>
            </w:pPr>
            <w:r w:rsidRPr="00A87035">
              <w:t>255.255.255.0</w:t>
            </w:r>
          </w:p>
        </w:tc>
        <w:tc>
          <w:tcPr>
            <w:tcW w:w="4431" w:type="dxa"/>
            <w:vAlign w:val="bottom"/>
          </w:tcPr>
          <w:p w:rsidR="0098189F" w:rsidRPr="00A87035" w:rsidRDefault="0098189F" w:rsidP="00C41168">
            <w:pPr>
              <w:pStyle w:val="TableText"/>
              <w:rPr>
                <w:rStyle w:val="AnswerGray"/>
                <w:shd w:val="clear" w:color="auto" w:fill="auto"/>
              </w:rPr>
            </w:pPr>
            <w:r w:rsidRPr="00A87035">
              <w:rPr>
                <w:rStyle w:val="AnswerGray"/>
                <w:shd w:val="clear" w:color="auto" w:fill="auto"/>
              </w:rPr>
              <w:t>11111111.11111111.11111111.00000000</w:t>
            </w:r>
          </w:p>
        </w:tc>
        <w:tc>
          <w:tcPr>
            <w:tcW w:w="1442" w:type="dxa"/>
            <w:vAlign w:val="bottom"/>
          </w:tcPr>
          <w:p w:rsidR="0098189F" w:rsidRPr="00A87035" w:rsidRDefault="0098189F" w:rsidP="00106083">
            <w:pPr>
              <w:pStyle w:val="TableText"/>
              <w:jc w:val="center"/>
              <w:rPr>
                <w:rStyle w:val="AnswerGray"/>
              </w:rPr>
            </w:pPr>
            <w:r w:rsidRPr="00A87035">
              <w:rPr>
                <w:rStyle w:val="AnswerGray"/>
              </w:rPr>
              <w:t>8</w:t>
            </w:r>
          </w:p>
        </w:tc>
        <w:tc>
          <w:tcPr>
            <w:tcW w:w="1440" w:type="dxa"/>
            <w:vAlign w:val="bottom"/>
          </w:tcPr>
          <w:p w:rsidR="0098189F" w:rsidRPr="00A87035" w:rsidRDefault="0098189F" w:rsidP="00106083">
            <w:pPr>
              <w:pStyle w:val="TableText"/>
              <w:jc w:val="center"/>
              <w:rPr>
                <w:rStyle w:val="AnswerGray"/>
              </w:rPr>
            </w:pPr>
            <w:r w:rsidRPr="00A87035">
              <w:rPr>
                <w:rStyle w:val="AnswerGray"/>
              </w:rPr>
              <w:t>254</w:t>
            </w:r>
          </w:p>
        </w:tc>
      </w:tr>
      <w:tr w:rsidR="0098189F" w:rsidRPr="00A87035" w:rsidTr="00106083">
        <w:trPr>
          <w:cantSplit/>
          <w:jc w:val="center"/>
        </w:trPr>
        <w:tc>
          <w:tcPr>
            <w:tcW w:w="1783" w:type="dxa"/>
            <w:vAlign w:val="bottom"/>
          </w:tcPr>
          <w:p w:rsidR="0098189F" w:rsidRPr="00A87035" w:rsidRDefault="0098189F" w:rsidP="00106083">
            <w:pPr>
              <w:pStyle w:val="TableText"/>
            </w:pPr>
            <w:r w:rsidRPr="00A87035">
              <w:t>255.255.240.0</w:t>
            </w:r>
          </w:p>
        </w:tc>
        <w:tc>
          <w:tcPr>
            <w:tcW w:w="4431" w:type="dxa"/>
            <w:vAlign w:val="bottom"/>
          </w:tcPr>
          <w:p w:rsidR="0098189F" w:rsidRPr="00A87035" w:rsidRDefault="0098189F" w:rsidP="00C41168">
            <w:pPr>
              <w:pStyle w:val="TableText"/>
              <w:rPr>
                <w:rStyle w:val="AnswerGray"/>
                <w:shd w:val="clear" w:color="auto" w:fill="auto"/>
              </w:rPr>
            </w:pPr>
            <w:r w:rsidRPr="00A87035">
              <w:rPr>
                <w:rStyle w:val="AnswerGray"/>
                <w:shd w:val="clear" w:color="auto" w:fill="auto"/>
              </w:rPr>
              <w:t>11111111.11111111.11110000.00000000</w:t>
            </w:r>
          </w:p>
        </w:tc>
        <w:tc>
          <w:tcPr>
            <w:tcW w:w="1442" w:type="dxa"/>
            <w:vAlign w:val="bottom"/>
          </w:tcPr>
          <w:p w:rsidR="0098189F" w:rsidRPr="00A87035" w:rsidRDefault="0098189F" w:rsidP="00106083">
            <w:pPr>
              <w:pStyle w:val="TableText"/>
              <w:jc w:val="center"/>
              <w:rPr>
                <w:rStyle w:val="AnswerGray"/>
              </w:rPr>
            </w:pPr>
            <w:r w:rsidRPr="00A87035">
              <w:rPr>
                <w:rStyle w:val="AnswerGray"/>
              </w:rPr>
              <w:t>12</w:t>
            </w:r>
          </w:p>
        </w:tc>
        <w:tc>
          <w:tcPr>
            <w:tcW w:w="1440" w:type="dxa"/>
            <w:vAlign w:val="bottom"/>
          </w:tcPr>
          <w:p w:rsidR="0098189F" w:rsidRPr="00A87035" w:rsidRDefault="0098189F" w:rsidP="00106083">
            <w:pPr>
              <w:pStyle w:val="TableText"/>
              <w:jc w:val="center"/>
              <w:rPr>
                <w:rStyle w:val="AnswerGray"/>
              </w:rPr>
            </w:pPr>
            <w:r w:rsidRPr="00A87035">
              <w:rPr>
                <w:rStyle w:val="AnswerGray"/>
              </w:rPr>
              <w:t>4094</w:t>
            </w:r>
          </w:p>
        </w:tc>
      </w:tr>
      <w:tr w:rsidR="0098189F" w:rsidRPr="00A87035" w:rsidTr="00106083">
        <w:trPr>
          <w:cantSplit/>
          <w:jc w:val="center"/>
        </w:trPr>
        <w:tc>
          <w:tcPr>
            <w:tcW w:w="1783" w:type="dxa"/>
            <w:vAlign w:val="bottom"/>
          </w:tcPr>
          <w:p w:rsidR="0098189F" w:rsidRPr="00A87035" w:rsidRDefault="0098189F" w:rsidP="00106083">
            <w:pPr>
              <w:pStyle w:val="TableText"/>
            </w:pPr>
            <w:r w:rsidRPr="00A87035">
              <w:t>255.255.255.128</w:t>
            </w:r>
          </w:p>
        </w:tc>
        <w:tc>
          <w:tcPr>
            <w:tcW w:w="4431" w:type="dxa"/>
            <w:vAlign w:val="bottom"/>
          </w:tcPr>
          <w:p w:rsidR="0098189F" w:rsidRPr="00A87035" w:rsidRDefault="0098189F" w:rsidP="00C41168">
            <w:pPr>
              <w:pStyle w:val="TableText"/>
              <w:rPr>
                <w:rStyle w:val="AnswerGray"/>
                <w:shd w:val="clear" w:color="auto" w:fill="auto"/>
              </w:rPr>
            </w:pPr>
            <w:r w:rsidRPr="00A87035">
              <w:rPr>
                <w:rStyle w:val="AnswerGray"/>
                <w:shd w:val="clear" w:color="auto" w:fill="auto"/>
              </w:rPr>
              <w:t>11111111.11111111.11111111.10000000</w:t>
            </w:r>
          </w:p>
        </w:tc>
        <w:tc>
          <w:tcPr>
            <w:tcW w:w="1442" w:type="dxa"/>
            <w:vAlign w:val="bottom"/>
          </w:tcPr>
          <w:p w:rsidR="0098189F" w:rsidRPr="00A87035" w:rsidRDefault="0098189F" w:rsidP="00106083">
            <w:pPr>
              <w:pStyle w:val="TableText"/>
              <w:jc w:val="center"/>
              <w:rPr>
                <w:rStyle w:val="AnswerGray"/>
              </w:rPr>
            </w:pPr>
            <w:r w:rsidRPr="00A87035">
              <w:rPr>
                <w:rStyle w:val="AnswerGray"/>
              </w:rPr>
              <w:t>7</w:t>
            </w:r>
          </w:p>
        </w:tc>
        <w:tc>
          <w:tcPr>
            <w:tcW w:w="1440" w:type="dxa"/>
            <w:vAlign w:val="bottom"/>
          </w:tcPr>
          <w:p w:rsidR="0098189F" w:rsidRPr="00A87035" w:rsidRDefault="0098189F" w:rsidP="00106083">
            <w:pPr>
              <w:pStyle w:val="TableText"/>
              <w:jc w:val="center"/>
              <w:rPr>
                <w:rStyle w:val="AnswerGray"/>
              </w:rPr>
            </w:pPr>
            <w:r w:rsidRPr="00A87035">
              <w:rPr>
                <w:rStyle w:val="AnswerGray"/>
              </w:rPr>
              <w:t>126</w:t>
            </w:r>
          </w:p>
        </w:tc>
      </w:tr>
      <w:tr w:rsidR="0098189F" w:rsidRPr="00A87035" w:rsidTr="00106083">
        <w:trPr>
          <w:cantSplit/>
          <w:jc w:val="center"/>
        </w:trPr>
        <w:tc>
          <w:tcPr>
            <w:tcW w:w="1783" w:type="dxa"/>
            <w:vAlign w:val="bottom"/>
          </w:tcPr>
          <w:p w:rsidR="0098189F" w:rsidRPr="00A87035" w:rsidRDefault="0098189F" w:rsidP="00106083">
            <w:pPr>
              <w:pStyle w:val="TableText"/>
            </w:pPr>
            <w:r w:rsidRPr="00A87035">
              <w:t>255.255.255.252</w:t>
            </w:r>
          </w:p>
        </w:tc>
        <w:tc>
          <w:tcPr>
            <w:tcW w:w="4431" w:type="dxa"/>
            <w:vAlign w:val="bottom"/>
          </w:tcPr>
          <w:p w:rsidR="0098189F" w:rsidRPr="00A87035" w:rsidRDefault="0098189F" w:rsidP="00C41168">
            <w:pPr>
              <w:pStyle w:val="TableText"/>
              <w:rPr>
                <w:rStyle w:val="AnswerGray"/>
                <w:shd w:val="clear" w:color="auto" w:fill="auto"/>
              </w:rPr>
            </w:pPr>
            <w:r w:rsidRPr="00A87035">
              <w:rPr>
                <w:rStyle w:val="AnswerGray"/>
                <w:shd w:val="clear" w:color="auto" w:fill="auto"/>
              </w:rPr>
              <w:t>11111111.11111111.11111111.11111100</w:t>
            </w:r>
          </w:p>
        </w:tc>
        <w:tc>
          <w:tcPr>
            <w:tcW w:w="1442" w:type="dxa"/>
            <w:vAlign w:val="bottom"/>
          </w:tcPr>
          <w:p w:rsidR="0098189F" w:rsidRPr="00A87035" w:rsidRDefault="0098189F" w:rsidP="00106083">
            <w:pPr>
              <w:pStyle w:val="TableText"/>
              <w:jc w:val="center"/>
              <w:rPr>
                <w:rStyle w:val="AnswerGray"/>
              </w:rPr>
            </w:pPr>
            <w:r w:rsidRPr="00A87035">
              <w:rPr>
                <w:rStyle w:val="AnswerGray"/>
              </w:rPr>
              <w:t>2</w:t>
            </w:r>
          </w:p>
        </w:tc>
        <w:tc>
          <w:tcPr>
            <w:tcW w:w="1440" w:type="dxa"/>
            <w:vAlign w:val="bottom"/>
          </w:tcPr>
          <w:p w:rsidR="0098189F" w:rsidRPr="00A87035" w:rsidRDefault="0098189F" w:rsidP="00106083">
            <w:pPr>
              <w:pStyle w:val="TableText"/>
              <w:jc w:val="center"/>
              <w:rPr>
                <w:rStyle w:val="AnswerGray"/>
              </w:rPr>
            </w:pPr>
            <w:r w:rsidRPr="00A87035">
              <w:rPr>
                <w:rStyle w:val="AnswerGray"/>
              </w:rPr>
              <w:t>2</w:t>
            </w:r>
          </w:p>
        </w:tc>
      </w:tr>
      <w:tr w:rsidR="0098189F" w:rsidRPr="00A87035" w:rsidTr="00106083">
        <w:trPr>
          <w:cantSplit/>
          <w:jc w:val="center"/>
        </w:trPr>
        <w:tc>
          <w:tcPr>
            <w:tcW w:w="1783" w:type="dxa"/>
            <w:vAlign w:val="bottom"/>
          </w:tcPr>
          <w:p w:rsidR="0098189F" w:rsidRPr="00A87035" w:rsidRDefault="0098189F" w:rsidP="00106083">
            <w:pPr>
              <w:pStyle w:val="TableText"/>
            </w:pPr>
            <w:r w:rsidRPr="00A87035">
              <w:t>255.255.0.0</w:t>
            </w:r>
          </w:p>
        </w:tc>
        <w:tc>
          <w:tcPr>
            <w:tcW w:w="4431" w:type="dxa"/>
            <w:vAlign w:val="bottom"/>
          </w:tcPr>
          <w:p w:rsidR="0098189F" w:rsidRPr="00A87035" w:rsidRDefault="0098189F" w:rsidP="00C41168">
            <w:pPr>
              <w:pStyle w:val="TableText"/>
              <w:rPr>
                <w:rStyle w:val="AnswerGray"/>
                <w:shd w:val="clear" w:color="auto" w:fill="auto"/>
              </w:rPr>
            </w:pPr>
            <w:r w:rsidRPr="00A87035">
              <w:rPr>
                <w:rStyle w:val="AnswerGray"/>
                <w:shd w:val="clear" w:color="auto" w:fill="auto"/>
              </w:rPr>
              <w:t>11111111.11111111.00000000.00000000</w:t>
            </w:r>
          </w:p>
        </w:tc>
        <w:tc>
          <w:tcPr>
            <w:tcW w:w="1442" w:type="dxa"/>
            <w:vAlign w:val="bottom"/>
          </w:tcPr>
          <w:p w:rsidR="0098189F" w:rsidRPr="00A87035" w:rsidRDefault="0047497C" w:rsidP="00106083">
            <w:pPr>
              <w:pStyle w:val="TableText"/>
              <w:jc w:val="center"/>
              <w:rPr>
                <w:rStyle w:val="AnswerGray"/>
              </w:rPr>
            </w:pPr>
            <w:r w:rsidRPr="00A87035">
              <w:rPr>
                <w:rStyle w:val="AnswerGray"/>
              </w:rPr>
              <w:t>16</w:t>
            </w:r>
          </w:p>
        </w:tc>
        <w:tc>
          <w:tcPr>
            <w:tcW w:w="1440" w:type="dxa"/>
            <w:vAlign w:val="bottom"/>
          </w:tcPr>
          <w:p w:rsidR="0098189F" w:rsidRPr="00A87035" w:rsidRDefault="0047497C" w:rsidP="00106083">
            <w:pPr>
              <w:pStyle w:val="TableText"/>
              <w:jc w:val="center"/>
              <w:rPr>
                <w:rStyle w:val="AnswerGray"/>
              </w:rPr>
            </w:pPr>
            <w:r w:rsidRPr="00A87035">
              <w:rPr>
                <w:rStyle w:val="AnswerGray"/>
              </w:rPr>
              <w:t>65534</w:t>
            </w:r>
          </w:p>
        </w:tc>
      </w:tr>
    </w:tbl>
    <w:p w:rsidR="007152A1" w:rsidRPr="00A87035" w:rsidRDefault="00410BB1" w:rsidP="00410BB1">
      <w:pPr>
        <w:pStyle w:val="PartHead"/>
      </w:pPr>
      <w:r w:rsidRPr="00A87035">
        <w:t xml:space="preserve">Convertir direcciones MAC y direcciones </w:t>
      </w:r>
      <w:proofErr w:type="spellStart"/>
      <w:r w:rsidRPr="00A87035">
        <w:t>IPv6</w:t>
      </w:r>
      <w:proofErr w:type="spellEnd"/>
      <w:r w:rsidRPr="00A87035">
        <w:t xml:space="preserve"> al sistema binario</w:t>
      </w:r>
    </w:p>
    <w:p w:rsidR="00067A1F" w:rsidRPr="00A87035" w:rsidRDefault="00621434" w:rsidP="00067A1F">
      <w:pPr>
        <w:pStyle w:val="BodyTextL25"/>
      </w:pPr>
      <w:r w:rsidRPr="00A87035">
        <w:t>Tanto las direcciones de control de acceso al medio (MAC) como las de protocolo de Internet versión 6 (</w:t>
      </w:r>
      <w:proofErr w:type="spellStart"/>
      <w:r w:rsidRPr="00A87035">
        <w:t>IPv6</w:t>
      </w:r>
      <w:proofErr w:type="spellEnd"/>
      <w:r w:rsidRPr="00A87035">
        <w:t>) se representan con dígitos hexadecimales para una mejor legibilidad. Sin embargo, las computadoras solamente comprenden dígitos binarios y los utilizan para los cálculos. En esta parte, convertirá estas direcciones hexadecimales en direcciones binarias.</w:t>
      </w:r>
    </w:p>
    <w:p w:rsidR="00067A1F" w:rsidRPr="00A87035" w:rsidRDefault="00067A1F" w:rsidP="00FF4350">
      <w:pPr>
        <w:pStyle w:val="StepHead"/>
        <w:pageBreakBefore/>
      </w:pPr>
      <w:r w:rsidRPr="00A87035">
        <w:lastRenderedPageBreak/>
        <w:t>Convertir direcciones MAC a dígitos binarios.</w:t>
      </w:r>
    </w:p>
    <w:p w:rsidR="00067A1F" w:rsidRPr="00A87035" w:rsidRDefault="00067A1F" w:rsidP="00067A1F">
      <w:pPr>
        <w:pStyle w:val="SubStepAlpha"/>
      </w:pPr>
      <w:r w:rsidRPr="00A87035">
        <w:t>Normalmente, la dirección MAC o física se representa con 12 caracteres hexadecimales agrupados en pares y separados por guiones (“-”). Las direcciones físicas en una computadora con Windows se muestran en formato XX-XX-XX-XX-XX-XX, donde cada X es un número del 0 al 9 o una letra de la A a la F. Cada carácter hexadecimal de la dirección se puede convertir en 4 bits binarios, que es lo que la computadora comprende. Si los 12 caracteres hexadecimales se convirtieran al sistema binario, ¿cuántos bits habría?</w:t>
      </w:r>
    </w:p>
    <w:p w:rsidR="00067A1F" w:rsidRPr="00A87035" w:rsidRDefault="00067A1F" w:rsidP="00067A1F">
      <w:pPr>
        <w:pStyle w:val="BodyTextL50"/>
      </w:pPr>
      <w:r w:rsidRPr="00A87035">
        <w:t>____________________________________________________________________________________</w:t>
      </w:r>
    </w:p>
    <w:p w:rsidR="00067A1F" w:rsidRPr="00A87035" w:rsidRDefault="00067A1F" w:rsidP="00067A1F">
      <w:pPr>
        <w:pStyle w:val="BodyTextL50"/>
        <w:rPr>
          <w:rStyle w:val="AnswerGray"/>
        </w:rPr>
      </w:pPr>
      <w:r w:rsidRPr="00A87035">
        <w:rPr>
          <w:rStyle w:val="AnswerGray"/>
        </w:rPr>
        <w:t>La dirección MAC consta de 48 bits (12 caracteres hexadecimales; 4 bits por carácter).</w:t>
      </w:r>
    </w:p>
    <w:p w:rsidR="00067A1F" w:rsidRPr="00A87035" w:rsidRDefault="00067A1F" w:rsidP="00067A1F">
      <w:pPr>
        <w:pStyle w:val="SubStepAlpha"/>
      </w:pPr>
      <w:r w:rsidRPr="00A87035">
        <w:t>Registre la dirección MAC de su PC.</w:t>
      </w:r>
    </w:p>
    <w:p w:rsidR="00067A1F" w:rsidRPr="00A87035" w:rsidRDefault="00067A1F" w:rsidP="00067A1F">
      <w:pPr>
        <w:pStyle w:val="BodyTextL50"/>
      </w:pPr>
      <w:r w:rsidRPr="00A87035">
        <w:t>____________________________________________________________________________________</w:t>
      </w:r>
    </w:p>
    <w:p w:rsidR="00067A1F" w:rsidRPr="00A87035" w:rsidRDefault="00067A1F" w:rsidP="00067A1F">
      <w:pPr>
        <w:pStyle w:val="BodyTextL50"/>
        <w:rPr>
          <w:rStyle w:val="AnswerGray"/>
        </w:rPr>
      </w:pPr>
      <w:r w:rsidRPr="00A87035">
        <w:rPr>
          <w:rStyle w:val="AnswerGray"/>
        </w:rPr>
        <w:t xml:space="preserve">Las respuestas varían según la PC. Ejemplo: </w:t>
      </w:r>
      <w:proofErr w:type="spellStart"/>
      <w:r w:rsidRPr="00A87035">
        <w:rPr>
          <w:rStyle w:val="AnswerGray"/>
        </w:rPr>
        <w:t>CC</w:t>
      </w:r>
      <w:proofErr w:type="spellEnd"/>
      <w:r w:rsidRPr="00A87035">
        <w:rPr>
          <w:rStyle w:val="AnswerGray"/>
        </w:rPr>
        <w:t>-12-DE-4A-</w:t>
      </w:r>
      <w:proofErr w:type="spellStart"/>
      <w:r w:rsidRPr="00A87035">
        <w:rPr>
          <w:rStyle w:val="AnswerGray"/>
        </w:rPr>
        <w:t>BD</w:t>
      </w:r>
      <w:proofErr w:type="spellEnd"/>
      <w:r w:rsidRPr="00A87035">
        <w:rPr>
          <w:rStyle w:val="AnswerGray"/>
        </w:rPr>
        <w:t>-88.</w:t>
      </w:r>
    </w:p>
    <w:p w:rsidR="00067A1F" w:rsidRPr="00A87035" w:rsidRDefault="00067A1F" w:rsidP="00067A1F">
      <w:pPr>
        <w:pStyle w:val="SubStepAlpha"/>
      </w:pPr>
      <w:r w:rsidRPr="00A87035">
        <w:t>Convierta la dirección MAC a dígitos binarios con la Calculadora de Windows.</w:t>
      </w:r>
    </w:p>
    <w:p w:rsidR="00067A1F" w:rsidRPr="00A87035" w:rsidRDefault="00067A1F" w:rsidP="00067A1F">
      <w:pPr>
        <w:pStyle w:val="BodyTextL50"/>
      </w:pPr>
      <w:r w:rsidRPr="00A87035">
        <w:t>____________________________________________________________________________________</w:t>
      </w:r>
    </w:p>
    <w:p w:rsidR="002F24C3" w:rsidRPr="00A87035" w:rsidRDefault="00067A1F" w:rsidP="00067A1F">
      <w:pPr>
        <w:pStyle w:val="BodyTextL50"/>
        <w:rPr>
          <w:rStyle w:val="AnswerGray"/>
        </w:rPr>
      </w:pPr>
      <w:r w:rsidRPr="00A87035">
        <w:rPr>
          <w:rStyle w:val="AnswerGray"/>
        </w:rPr>
        <w:t xml:space="preserve">Las respuestas varían. Por ejemplo: </w:t>
      </w:r>
      <w:proofErr w:type="spellStart"/>
      <w:r w:rsidRPr="00A87035">
        <w:rPr>
          <w:rStyle w:val="AnswerGray"/>
        </w:rPr>
        <w:t>CC</w:t>
      </w:r>
      <w:proofErr w:type="spellEnd"/>
      <w:r w:rsidRPr="00A87035">
        <w:rPr>
          <w:rStyle w:val="AnswerGray"/>
        </w:rPr>
        <w:t xml:space="preserve"> (1100 1100), 12 (0001 0010), DE (1101 1110) 4A (0100 1010), </w:t>
      </w:r>
      <w:proofErr w:type="spellStart"/>
      <w:r w:rsidRPr="00A87035">
        <w:rPr>
          <w:rStyle w:val="AnswerGray"/>
        </w:rPr>
        <w:t>BD</w:t>
      </w:r>
      <w:proofErr w:type="spellEnd"/>
      <w:r w:rsidRPr="00A87035">
        <w:rPr>
          <w:rStyle w:val="AnswerGray"/>
        </w:rPr>
        <w:t xml:space="preserve"> (1011 1101), 88 (1000 1000).</w:t>
      </w:r>
    </w:p>
    <w:p w:rsidR="002803A1" w:rsidRPr="00A87035" w:rsidRDefault="002803A1" w:rsidP="00041EE0">
      <w:pPr>
        <w:pStyle w:val="StepHead"/>
      </w:pPr>
      <w:r w:rsidRPr="00A87035">
        <w:t xml:space="preserve">Convertir una dirección </w:t>
      </w:r>
      <w:proofErr w:type="spellStart"/>
      <w:r w:rsidRPr="00A87035">
        <w:t>IPv6</w:t>
      </w:r>
      <w:proofErr w:type="spellEnd"/>
      <w:r w:rsidRPr="00A87035">
        <w:t xml:space="preserve"> a dígitos binarios.</w:t>
      </w:r>
    </w:p>
    <w:p w:rsidR="00624FE9" w:rsidRPr="00A87035" w:rsidRDefault="00624FE9" w:rsidP="00624FE9">
      <w:pPr>
        <w:pStyle w:val="BodyTextL25"/>
      </w:pPr>
      <w:r w:rsidRPr="00A87035">
        <w:t xml:space="preserve">Las direcciones </w:t>
      </w:r>
      <w:proofErr w:type="spellStart"/>
      <w:r w:rsidRPr="00A87035">
        <w:t>IPv6</w:t>
      </w:r>
      <w:proofErr w:type="spellEnd"/>
      <w:r w:rsidRPr="00A87035">
        <w:t xml:space="preserve"> también se escriben en caracteres hexadecimales por cuestiones de practicidad. Estas direcciones </w:t>
      </w:r>
      <w:proofErr w:type="spellStart"/>
      <w:r w:rsidRPr="00A87035">
        <w:t>IPv6</w:t>
      </w:r>
      <w:proofErr w:type="spellEnd"/>
      <w:r w:rsidRPr="00A87035">
        <w:t xml:space="preserve"> se pueden convertir a números binarios para que las utilice la computadora.</w:t>
      </w:r>
    </w:p>
    <w:p w:rsidR="00EB48C8" w:rsidRPr="00A87035" w:rsidRDefault="00EB48C8" w:rsidP="002803A1">
      <w:pPr>
        <w:pStyle w:val="SubStepAlpha"/>
      </w:pPr>
      <w:r w:rsidRPr="00A87035">
        <w:t xml:space="preserve">Las direcciones </w:t>
      </w:r>
      <w:proofErr w:type="spellStart"/>
      <w:r w:rsidRPr="00A87035">
        <w:t>IPv6</w:t>
      </w:r>
      <w:proofErr w:type="spellEnd"/>
      <w:r w:rsidRPr="00A87035">
        <w:t xml:space="preserve"> son números binarios representados en notaciones legibles para las personas: </w:t>
      </w:r>
      <w:proofErr w:type="spellStart"/>
      <w:r w:rsidRPr="00A87035">
        <w:t>2001:0DB8</w:t>
      </w:r>
      <w:proofErr w:type="gramStart"/>
      <w:r w:rsidRPr="00A87035">
        <w:t>:ACAD:0001:0000:0000:0000:0001</w:t>
      </w:r>
      <w:proofErr w:type="spellEnd"/>
      <w:proofErr w:type="gramEnd"/>
      <w:r w:rsidRPr="00A87035">
        <w:t xml:space="preserve">; en un formato más corto: </w:t>
      </w:r>
      <w:proofErr w:type="spellStart"/>
      <w:r w:rsidRPr="00A87035">
        <w:t>2001:DB8:ACAD:1</w:t>
      </w:r>
      <w:proofErr w:type="spellEnd"/>
      <w:r w:rsidRPr="00A87035">
        <w:t>::1.</w:t>
      </w:r>
    </w:p>
    <w:p w:rsidR="00EB48C8" w:rsidRPr="00A87035" w:rsidRDefault="00C41168" w:rsidP="00EB48C8">
      <w:pPr>
        <w:pStyle w:val="SubStepAlpha"/>
      </w:pPr>
      <w:r w:rsidRPr="00A87035">
        <w:t xml:space="preserve">Las direcciones </w:t>
      </w:r>
      <w:proofErr w:type="spellStart"/>
      <w:r w:rsidRPr="00A87035">
        <w:t>IPv6</w:t>
      </w:r>
      <w:proofErr w:type="spellEnd"/>
      <w:r w:rsidRPr="00A87035">
        <w:t xml:space="preserve"> tienen una longitud de 128 bits. Con la Calculadora de Windows, convierta la dirección </w:t>
      </w:r>
      <w:proofErr w:type="spellStart"/>
      <w:r w:rsidRPr="00A87035">
        <w:t>IPv6</w:t>
      </w:r>
      <w:proofErr w:type="spellEnd"/>
      <w:r w:rsidRPr="00A87035">
        <w:t xml:space="preserve"> del ejemplo en números binarios y regístrela en la tabla que figura a continuación.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304"/>
        <w:gridCol w:w="3012"/>
      </w:tblGrid>
      <w:tr w:rsidR="00C11A35" w:rsidRPr="00A87035" w:rsidTr="00106083">
        <w:trPr>
          <w:cantSplit/>
          <w:jc w:val="center"/>
        </w:trPr>
        <w:tc>
          <w:tcPr>
            <w:tcW w:w="2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11A35" w:rsidRPr="00A87035" w:rsidRDefault="00C11A35" w:rsidP="00106083">
            <w:pPr>
              <w:pStyle w:val="TableHeading"/>
            </w:pPr>
            <w:r w:rsidRPr="00A87035">
              <w:t>Hexadecimal</w:t>
            </w:r>
          </w:p>
        </w:tc>
        <w:tc>
          <w:tcPr>
            <w:tcW w:w="3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11A35" w:rsidRPr="00A87035" w:rsidRDefault="00C11A35" w:rsidP="00106083">
            <w:pPr>
              <w:pStyle w:val="TableHeading"/>
            </w:pPr>
            <w:r w:rsidRPr="00A87035">
              <w:t>Binario</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2001</w:t>
            </w:r>
          </w:p>
        </w:tc>
        <w:tc>
          <w:tcPr>
            <w:tcW w:w="3012" w:type="dxa"/>
            <w:vAlign w:val="bottom"/>
          </w:tcPr>
          <w:p w:rsidR="00C11A35" w:rsidRPr="00A87035" w:rsidRDefault="00C11A35" w:rsidP="00106083">
            <w:pPr>
              <w:pStyle w:val="TableText"/>
              <w:jc w:val="center"/>
              <w:rPr>
                <w:rStyle w:val="AnswerGray"/>
              </w:rPr>
            </w:pPr>
            <w:r w:rsidRPr="00A87035">
              <w:rPr>
                <w:rStyle w:val="AnswerGray"/>
              </w:rPr>
              <w:t>0010 0000 0000 0001</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proofErr w:type="spellStart"/>
            <w:r w:rsidRPr="00A87035">
              <w:t>0DB8</w:t>
            </w:r>
            <w:proofErr w:type="spellEnd"/>
          </w:p>
        </w:tc>
        <w:tc>
          <w:tcPr>
            <w:tcW w:w="3012" w:type="dxa"/>
            <w:vAlign w:val="bottom"/>
          </w:tcPr>
          <w:p w:rsidR="00C11A35" w:rsidRPr="00A87035" w:rsidRDefault="00C11A35" w:rsidP="00106083">
            <w:pPr>
              <w:pStyle w:val="TableText"/>
              <w:jc w:val="center"/>
              <w:rPr>
                <w:rStyle w:val="AnswerGray"/>
              </w:rPr>
            </w:pPr>
            <w:r w:rsidRPr="00A87035">
              <w:rPr>
                <w:rStyle w:val="AnswerGray"/>
              </w:rPr>
              <w:t>0000 1101 1011 1000</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proofErr w:type="spellStart"/>
            <w:r w:rsidRPr="00A87035">
              <w:t>ACAD</w:t>
            </w:r>
            <w:proofErr w:type="spellEnd"/>
          </w:p>
        </w:tc>
        <w:tc>
          <w:tcPr>
            <w:tcW w:w="3012" w:type="dxa"/>
            <w:vAlign w:val="bottom"/>
          </w:tcPr>
          <w:p w:rsidR="00C11A35" w:rsidRPr="00A87035" w:rsidRDefault="00C11A35" w:rsidP="00106083">
            <w:pPr>
              <w:pStyle w:val="TableText"/>
              <w:jc w:val="center"/>
              <w:rPr>
                <w:rStyle w:val="AnswerGray"/>
              </w:rPr>
            </w:pPr>
            <w:r w:rsidRPr="00A87035">
              <w:rPr>
                <w:rStyle w:val="AnswerGray"/>
              </w:rPr>
              <w:t>1010 1100 1010 1101</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0001</w:t>
            </w:r>
          </w:p>
        </w:tc>
        <w:tc>
          <w:tcPr>
            <w:tcW w:w="3012" w:type="dxa"/>
            <w:vAlign w:val="bottom"/>
          </w:tcPr>
          <w:p w:rsidR="00C11A35" w:rsidRPr="00A87035" w:rsidRDefault="00C11A35" w:rsidP="00106083">
            <w:pPr>
              <w:pStyle w:val="TableText"/>
              <w:jc w:val="center"/>
              <w:rPr>
                <w:rStyle w:val="AnswerGray"/>
              </w:rPr>
            </w:pPr>
            <w:r w:rsidRPr="00A87035">
              <w:rPr>
                <w:rStyle w:val="AnswerGray"/>
              </w:rPr>
              <w:t>0000 0000 0000 0001</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0000</w:t>
            </w:r>
          </w:p>
        </w:tc>
        <w:tc>
          <w:tcPr>
            <w:tcW w:w="3012" w:type="dxa"/>
            <w:vAlign w:val="bottom"/>
          </w:tcPr>
          <w:p w:rsidR="00C11A35" w:rsidRPr="00A87035" w:rsidRDefault="00C11A35" w:rsidP="00106083">
            <w:pPr>
              <w:pStyle w:val="TableText"/>
              <w:jc w:val="center"/>
              <w:rPr>
                <w:rStyle w:val="AnswerGray"/>
              </w:rPr>
            </w:pPr>
            <w:r w:rsidRPr="00A87035">
              <w:rPr>
                <w:rStyle w:val="AnswerGray"/>
              </w:rPr>
              <w:t>0000 0000 0000 0000</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0000</w:t>
            </w:r>
          </w:p>
        </w:tc>
        <w:tc>
          <w:tcPr>
            <w:tcW w:w="3012" w:type="dxa"/>
            <w:vAlign w:val="bottom"/>
          </w:tcPr>
          <w:p w:rsidR="00C11A35" w:rsidRPr="00A87035" w:rsidRDefault="00C11A35" w:rsidP="00106083">
            <w:pPr>
              <w:pStyle w:val="TableText"/>
              <w:jc w:val="center"/>
              <w:rPr>
                <w:rStyle w:val="AnswerGray"/>
              </w:rPr>
            </w:pPr>
            <w:r w:rsidRPr="00A87035">
              <w:rPr>
                <w:rStyle w:val="AnswerGray"/>
              </w:rPr>
              <w:t>0000 0000 0000 0000</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0000</w:t>
            </w:r>
          </w:p>
        </w:tc>
        <w:tc>
          <w:tcPr>
            <w:tcW w:w="3012" w:type="dxa"/>
            <w:vAlign w:val="bottom"/>
          </w:tcPr>
          <w:p w:rsidR="00C11A35" w:rsidRPr="00A87035" w:rsidRDefault="00C11A35" w:rsidP="00106083">
            <w:pPr>
              <w:pStyle w:val="TableText"/>
              <w:jc w:val="center"/>
              <w:rPr>
                <w:rStyle w:val="AnswerGray"/>
              </w:rPr>
            </w:pPr>
            <w:r w:rsidRPr="00A87035">
              <w:rPr>
                <w:rStyle w:val="AnswerGray"/>
              </w:rPr>
              <w:t>0000 0000 0000 0000</w:t>
            </w:r>
          </w:p>
        </w:tc>
      </w:tr>
      <w:tr w:rsidR="00C11A35" w:rsidRPr="00A87035" w:rsidTr="00106083">
        <w:trPr>
          <w:cantSplit/>
          <w:jc w:val="center"/>
        </w:trPr>
        <w:tc>
          <w:tcPr>
            <w:tcW w:w="2304" w:type="dxa"/>
            <w:vAlign w:val="bottom"/>
          </w:tcPr>
          <w:p w:rsidR="00C11A35" w:rsidRPr="00A87035" w:rsidRDefault="00C11A35" w:rsidP="00106083">
            <w:pPr>
              <w:pStyle w:val="TableText"/>
              <w:jc w:val="center"/>
            </w:pPr>
            <w:r w:rsidRPr="00A87035">
              <w:t>0001</w:t>
            </w:r>
          </w:p>
        </w:tc>
        <w:tc>
          <w:tcPr>
            <w:tcW w:w="3012" w:type="dxa"/>
            <w:vAlign w:val="bottom"/>
          </w:tcPr>
          <w:p w:rsidR="00C11A35" w:rsidRPr="00A87035" w:rsidRDefault="00C11A35" w:rsidP="00106083">
            <w:pPr>
              <w:pStyle w:val="TableText"/>
              <w:jc w:val="center"/>
              <w:rPr>
                <w:rStyle w:val="AnswerGray"/>
              </w:rPr>
            </w:pPr>
            <w:r w:rsidRPr="00A87035">
              <w:rPr>
                <w:rStyle w:val="AnswerGray"/>
              </w:rPr>
              <w:t>0000 0000 0000 0001</w:t>
            </w:r>
          </w:p>
        </w:tc>
      </w:tr>
    </w:tbl>
    <w:p w:rsidR="00EB48C8" w:rsidRPr="00A87035" w:rsidRDefault="002803A1" w:rsidP="00FF4350">
      <w:pPr>
        <w:pStyle w:val="LabSection"/>
        <w:pageBreakBefore/>
      </w:pPr>
      <w:r w:rsidRPr="00A87035">
        <w:lastRenderedPageBreak/>
        <w:t>Reflexión</w:t>
      </w:r>
    </w:p>
    <w:p w:rsidR="002803A1" w:rsidRPr="00A87035" w:rsidRDefault="00820DBC" w:rsidP="00200022">
      <w:pPr>
        <w:pStyle w:val="ReflectionQ"/>
      </w:pPr>
      <w:r w:rsidRPr="00A87035">
        <w:t>¿Puede realizar todas las conversiones sin la ayuda de la Calculadora? ¿Qué puede hacer para lograrlo?</w:t>
      </w:r>
    </w:p>
    <w:p w:rsidR="00820DBC" w:rsidRPr="00A87035" w:rsidRDefault="00820DBC" w:rsidP="00D73B26">
      <w:pPr>
        <w:pStyle w:val="BodyTextL25"/>
      </w:pPr>
      <w:r w:rsidRPr="00A87035">
        <w:t>_______________________________________________________________________________________</w:t>
      </w:r>
    </w:p>
    <w:p w:rsidR="00820DBC" w:rsidRPr="00A87035" w:rsidRDefault="00820DBC" w:rsidP="00D73B26">
      <w:pPr>
        <w:pStyle w:val="BodyTextL25"/>
        <w:rPr>
          <w:rStyle w:val="AnswerGray"/>
        </w:rPr>
      </w:pPr>
      <w:r w:rsidRPr="00A87035">
        <w:rPr>
          <w:rStyle w:val="AnswerGray"/>
        </w:rPr>
        <w:t xml:space="preserve">Practicar mucho. Por ejemplo, un juego sobre el sistema binario que se encuentra en Cisco </w:t>
      </w:r>
      <w:proofErr w:type="spellStart"/>
      <w:r w:rsidRPr="00A87035">
        <w:rPr>
          <w:rStyle w:val="AnswerGray"/>
        </w:rPr>
        <w:t>Learning</w:t>
      </w:r>
      <w:proofErr w:type="spellEnd"/>
      <w:r w:rsidRPr="00A87035">
        <w:rPr>
          <w:rStyle w:val="AnswerGray"/>
        </w:rPr>
        <w:t xml:space="preserve"> Network (en </w:t>
      </w:r>
      <w:hyperlink r:id="rId10">
        <w:proofErr w:type="spellStart"/>
        <w:r w:rsidRPr="00A87035">
          <w:rPr>
            <w:rStyle w:val="Hyperlink"/>
            <w:shd w:val="clear" w:color="auto" w:fill="BFBFBF"/>
          </w:rPr>
          <w:t>https://learningnetwork.cisco.com/</w:t>
        </w:r>
        <w:proofErr w:type="spellEnd"/>
      </w:hyperlink>
      <w:r w:rsidRPr="00A87035">
        <w:rPr>
          <w:rStyle w:val="AnswerGray"/>
        </w:rPr>
        <w:t xml:space="preserve">) puede ayudar con la conversión entre </w:t>
      </w:r>
      <w:proofErr w:type="gramStart"/>
      <w:r w:rsidRPr="00A87035">
        <w:rPr>
          <w:rStyle w:val="AnswerGray"/>
        </w:rPr>
        <w:t>los sistemas numéricos binario</w:t>
      </w:r>
      <w:proofErr w:type="gramEnd"/>
      <w:r w:rsidRPr="00A87035">
        <w:rPr>
          <w:rStyle w:val="AnswerGray"/>
        </w:rPr>
        <w:t xml:space="preserve"> y decimal.</w:t>
      </w:r>
    </w:p>
    <w:p w:rsidR="00200022" w:rsidRPr="00A87035" w:rsidRDefault="00200022" w:rsidP="00200022">
      <w:pPr>
        <w:pStyle w:val="ReflectionQ"/>
      </w:pPr>
      <w:r w:rsidRPr="00A87035">
        <w:t xml:space="preserve">En la mayoría de las direcciones </w:t>
      </w:r>
      <w:proofErr w:type="spellStart"/>
      <w:r w:rsidRPr="00A87035">
        <w:t>IPv6</w:t>
      </w:r>
      <w:proofErr w:type="spellEnd"/>
      <w:r w:rsidRPr="00A87035">
        <w:t>, la porción de red suele ser de 64 bits. ¿Cuántos hosts hay disponibles en una subred en la que los primeros 64 bits representan la red? Sugerencia: todas las direcciones host están disponibles en la subred para los hosts.</w:t>
      </w:r>
    </w:p>
    <w:p w:rsidR="00200022" w:rsidRPr="00A87035" w:rsidRDefault="00200022" w:rsidP="00200022">
      <w:pPr>
        <w:pStyle w:val="BodyTextL25"/>
      </w:pPr>
      <w:r w:rsidRPr="00A87035">
        <w:t>_______________________________________________________________________________________</w:t>
      </w:r>
    </w:p>
    <w:p w:rsidR="002F08D0" w:rsidRPr="00A87035" w:rsidRDefault="00473F97" w:rsidP="002F08D0">
      <w:pPr>
        <w:pStyle w:val="BodyTextL25"/>
      </w:pPr>
      <w:r w:rsidRPr="00A87035">
        <w:rPr>
          <w:rStyle w:val="AnswerGray"/>
        </w:rPr>
        <w:t>Hay 64 bits disponibles para direcciones de hosts, lo que significa que hay más de 18,4 billones (2</w:t>
      </w:r>
      <w:r w:rsidRPr="00A87035">
        <w:rPr>
          <w:rStyle w:val="AnswerGray"/>
          <w:vertAlign w:val="superscript"/>
        </w:rPr>
        <w:t>64</w:t>
      </w:r>
      <w:r w:rsidRPr="00A87035">
        <w:rPr>
          <w:rStyle w:val="AnswerGray"/>
        </w:rPr>
        <w:t xml:space="preserve"> – 2) de hosts disponibles en una subred de 64 bits (/64).</w:t>
      </w:r>
    </w:p>
    <w:sectPr w:rsidR="002F08D0" w:rsidRPr="00A87035"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D13" w:rsidRDefault="00527D13" w:rsidP="0090659A">
      <w:pPr>
        <w:spacing w:after="0" w:line="240" w:lineRule="auto"/>
      </w:pPr>
      <w:r>
        <w:separator/>
      </w:r>
    </w:p>
    <w:p w:rsidR="00527D13" w:rsidRDefault="00527D13"/>
    <w:p w:rsidR="00527D13" w:rsidRDefault="00527D13"/>
    <w:p w:rsidR="00527D13" w:rsidRDefault="00527D13"/>
    <w:p w:rsidR="00527D13" w:rsidRDefault="00527D13"/>
  </w:endnote>
  <w:endnote w:type="continuationSeparator" w:id="0">
    <w:p w:rsidR="00527D13" w:rsidRDefault="00527D13" w:rsidP="0090659A">
      <w:pPr>
        <w:spacing w:after="0" w:line="240" w:lineRule="auto"/>
      </w:pPr>
      <w:r>
        <w:continuationSeparator/>
      </w:r>
    </w:p>
    <w:p w:rsidR="00527D13" w:rsidRDefault="00527D13"/>
    <w:p w:rsidR="00527D13" w:rsidRDefault="00527D13"/>
    <w:p w:rsidR="00527D13" w:rsidRDefault="00527D13"/>
    <w:p w:rsidR="00527D13" w:rsidRDefault="00527D1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16CE1">
      <w:fldChar w:fldCharType="begin"/>
    </w:r>
    <w:r w:rsidR="00AB0E42">
      <w:instrText xml:space="preserve"> DATE  \@ "yyyy"  \* MERGEFORMAT </w:instrText>
    </w:r>
    <w:r w:rsidR="00F16CE1">
      <w:fldChar w:fldCharType="separate"/>
    </w:r>
    <w:r w:rsidR="004C57A9">
      <w:rPr>
        <w:noProof/>
      </w:rPr>
      <w:t>2015</w:t>
    </w:r>
    <w:r w:rsidR="00F16CE1">
      <w:fldChar w:fldCharType="end"/>
    </w:r>
    <w:r>
      <w:t xml:space="preserve"> Cisco y/o sus filiales. Todos los derechos reservados. Este documento es información pública de Cisco.</w:t>
    </w:r>
    <w:r>
      <w:tab/>
      <w:t xml:space="preserve">Página </w:t>
    </w:r>
    <w:r w:rsidR="00F16CE1" w:rsidRPr="0090659A">
      <w:rPr>
        <w:b/>
        <w:szCs w:val="16"/>
      </w:rPr>
      <w:fldChar w:fldCharType="begin"/>
    </w:r>
    <w:r w:rsidRPr="0090659A">
      <w:rPr>
        <w:b/>
        <w:szCs w:val="16"/>
      </w:rPr>
      <w:instrText xml:space="preserve"> PAGE </w:instrText>
    </w:r>
    <w:r w:rsidR="00F16CE1" w:rsidRPr="0090659A">
      <w:rPr>
        <w:b/>
        <w:szCs w:val="16"/>
      </w:rPr>
      <w:fldChar w:fldCharType="separate"/>
    </w:r>
    <w:r w:rsidR="004C57A9">
      <w:rPr>
        <w:b/>
        <w:noProof/>
        <w:szCs w:val="16"/>
      </w:rPr>
      <w:t>3</w:t>
    </w:r>
    <w:r w:rsidR="00F16CE1" w:rsidRPr="0090659A">
      <w:rPr>
        <w:b/>
        <w:szCs w:val="16"/>
      </w:rPr>
      <w:fldChar w:fldCharType="end"/>
    </w:r>
    <w:r>
      <w:t xml:space="preserve"> de </w:t>
    </w:r>
    <w:r w:rsidR="00F16CE1" w:rsidRPr="0090659A">
      <w:rPr>
        <w:b/>
        <w:szCs w:val="16"/>
      </w:rPr>
      <w:fldChar w:fldCharType="begin"/>
    </w:r>
    <w:r w:rsidRPr="0090659A">
      <w:rPr>
        <w:b/>
        <w:szCs w:val="16"/>
      </w:rPr>
      <w:instrText xml:space="preserve"> NUMPAGES  </w:instrText>
    </w:r>
    <w:r w:rsidR="00F16CE1" w:rsidRPr="0090659A">
      <w:rPr>
        <w:b/>
        <w:szCs w:val="16"/>
      </w:rPr>
      <w:fldChar w:fldCharType="separate"/>
    </w:r>
    <w:r w:rsidR="004C57A9">
      <w:rPr>
        <w:b/>
        <w:noProof/>
        <w:szCs w:val="16"/>
      </w:rPr>
      <w:t>8</w:t>
    </w:r>
    <w:r w:rsidR="00F16CE1"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16CE1">
      <w:fldChar w:fldCharType="begin"/>
    </w:r>
    <w:r w:rsidR="00AB0E42">
      <w:instrText xml:space="preserve"> DATE  \@ "yyyy"  \* MERGEFORMAT </w:instrText>
    </w:r>
    <w:r w:rsidR="00F16CE1">
      <w:fldChar w:fldCharType="separate"/>
    </w:r>
    <w:r w:rsidR="004C57A9">
      <w:rPr>
        <w:noProof/>
      </w:rPr>
      <w:t>2015</w:t>
    </w:r>
    <w:r w:rsidR="00F16CE1">
      <w:fldChar w:fldCharType="end"/>
    </w:r>
    <w:r>
      <w:t xml:space="preserve"> Cisco y/o sus filiales. Todos los derechos reservados. Este documento es información pública de Cisco.</w:t>
    </w:r>
    <w:r>
      <w:tab/>
      <w:t xml:space="preserve">Página </w:t>
    </w:r>
    <w:r w:rsidR="00F16CE1" w:rsidRPr="0090659A">
      <w:rPr>
        <w:b/>
        <w:szCs w:val="16"/>
      </w:rPr>
      <w:fldChar w:fldCharType="begin"/>
    </w:r>
    <w:r w:rsidRPr="0090659A">
      <w:rPr>
        <w:b/>
        <w:szCs w:val="16"/>
      </w:rPr>
      <w:instrText xml:space="preserve"> PAGE </w:instrText>
    </w:r>
    <w:r w:rsidR="00F16CE1" w:rsidRPr="0090659A">
      <w:rPr>
        <w:b/>
        <w:szCs w:val="16"/>
      </w:rPr>
      <w:fldChar w:fldCharType="separate"/>
    </w:r>
    <w:r w:rsidR="004C57A9">
      <w:rPr>
        <w:b/>
        <w:noProof/>
        <w:szCs w:val="16"/>
      </w:rPr>
      <w:t>1</w:t>
    </w:r>
    <w:r w:rsidR="00F16CE1" w:rsidRPr="0090659A">
      <w:rPr>
        <w:b/>
        <w:szCs w:val="16"/>
      </w:rPr>
      <w:fldChar w:fldCharType="end"/>
    </w:r>
    <w:r>
      <w:t xml:space="preserve"> de </w:t>
    </w:r>
    <w:r w:rsidR="00F16CE1" w:rsidRPr="0090659A">
      <w:rPr>
        <w:b/>
        <w:szCs w:val="16"/>
      </w:rPr>
      <w:fldChar w:fldCharType="begin"/>
    </w:r>
    <w:r w:rsidRPr="0090659A">
      <w:rPr>
        <w:b/>
        <w:szCs w:val="16"/>
      </w:rPr>
      <w:instrText xml:space="preserve"> NUMPAGES  </w:instrText>
    </w:r>
    <w:r w:rsidR="00F16CE1" w:rsidRPr="0090659A">
      <w:rPr>
        <w:b/>
        <w:szCs w:val="16"/>
      </w:rPr>
      <w:fldChar w:fldCharType="separate"/>
    </w:r>
    <w:r w:rsidR="004C57A9">
      <w:rPr>
        <w:b/>
        <w:noProof/>
        <w:szCs w:val="16"/>
      </w:rPr>
      <w:t>1</w:t>
    </w:r>
    <w:r w:rsidR="00F16CE1"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D13" w:rsidRDefault="00527D13" w:rsidP="0090659A">
      <w:pPr>
        <w:spacing w:after="0" w:line="240" w:lineRule="auto"/>
      </w:pPr>
      <w:r>
        <w:separator/>
      </w:r>
    </w:p>
    <w:p w:rsidR="00527D13" w:rsidRDefault="00527D13"/>
    <w:p w:rsidR="00527D13" w:rsidRDefault="00527D13"/>
    <w:p w:rsidR="00527D13" w:rsidRDefault="00527D13"/>
    <w:p w:rsidR="00527D13" w:rsidRDefault="00527D13"/>
  </w:footnote>
  <w:footnote w:type="continuationSeparator" w:id="0">
    <w:p w:rsidR="00527D13" w:rsidRDefault="00527D13" w:rsidP="0090659A">
      <w:pPr>
        <w:spacing w:after="0" w:line="240" w:lineRule="auto"/>
      </w:pPr>
      <w:r>
        <w:continuationSeparator/>
      </w:r>
    </w:p>
    <w:p w:rsidR="00527D13" w:rsidRDefault="00527D13"/>
    <w:p w:rsidR="00527D13" w:rsidRDefault="00527D13"/>
    <w:p w:rsidR="00527D13" w:rsidRDefault="00527D13"/>
    <w:p w:rsidR="00527D13" w:rsidRDefault="00527D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D6147E" w:rsidP="00C52BA6">
    <w:pPr>
      <w:pStyle w:val="PageHead"/>
    </w:pPr>
    <w:r>
      <w:t>Práctica de laboratorio: Uso de la calculadora de Windows con direcciones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2636B">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DBA00C7"/>
    <w:multiLevelType w:val="multilevel"/>
    <w:tmpl w:val="1556D91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1A84889"/>
    <w:multiLevelType w:val="hybridMultilevel"/>
    <w:tmpl w:val="D62878F4"/>
    <w:lvl w:ilvl="0" w:tplc="7C80CC4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8662A3F"/>
    <w:multiLevelType w:val="hybridMultilevel"/>
    <w:tmpl w:val="338CCB8E"/>
    <w:lvl w:ilvl="0" w:tplc="2208073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27744"/>
    <w:rsid w:val="000302C1"/>
    <w:rsid w:val="00030750"/>
    <w:rsid w:val="000410A5"/>
    <w:rsid w:val="00041AF6"/>
    <w:rsid w:val="00041EE0"/>
    <w:rsid w:val="00044E62"/>
    <w:rsid w:val="00050BA4"/>
    <w:rsid w:val="00051738"/>
    <w:rsid w:val="00052548"/>
    <w:rsid w:val="0005306A"/>
    <w:rsid w:val="00053EB2"/>
    <w:rsid w:val="0006011C"/>
    <w:rsid w:val="00060696"/>
    <w:rsid w:val="00067A1F"/>
    <w:rsid w:val="000769CF"/>
    <w:rsid w:val="000815D8"/>
    <w:rsid w:val="00085CC6"/>
    <w:rsid w:val="00086294"/>
    <w:rsid w:val="00090C07"/>
    <w:rsid w:val="00091E8D"/>
    <w:rsid w:val="0009378D"/>
    <w:rsid w:val="00097163"/>
    <w:rsid w:val="000A1642"/>
    <w:rsid w:val="000A22C8"/>
    <w:rsid w:val="000A5C89"/>
    <w:rsid w:val="000B2344"/>
    <w:rsid w:val="000B7DE5"/>
    <w:rsid w:val="000C155A"/>
    <w:rsid w:val="000D123A"/>
    <w:rsid w:val="000D3FB1"/>
    <w:rsid w:val="000D4716"/>
    <w:rsid w:val="000D55B4"/>
    <w:rsid w:val="000E65F0"/>
    <w:rsid w:val="000F072C"/>
    <w:rsid w:val="000F6743"/>
    <w:rsid w:val="001006C2"/>
    <w:rsid w:val="00106083"/>
    <w:rsid w:val="00107B2B"/>
    <w:rsid w:val="00112AC5"/>
    <w:rsid w:val="001133DD"/>
    <w:rsid w:val="00115658"/>
    <w:rsid w:val="00120CBE"/>
    <w:rsid w:val="00123D26"/>
    <w:rsid w:val="001261C4"/>
    <w:rsid w:val="001274DE"/>
    <w:rsid w:val="001336B6"/>
    <w:rsid w:val="001366EC"/>
    <w:rsid w:val="0014219C"/>
    <w:rsid w:val="001425ED"/>
    <w:rsid w:val="001445C1"/>
    <w:rsid w:val="00154E3A"/>
    <w:rsid w:val="00156FA9"/>
    <w:rsid w:val="00157902"/>
    <w:rsid w:val="00163164"/>
    <w:rsid w:val="00166253"/>
    <w:rsid w:val="001710C0"/>
    <w:rsid w:val="00172AFB"/>
    <w:rsid w:val="001735D3"/>
    <w:rsid w:val="001772B8"/>
    <w:rsid w:val="00180FBF"/>
    <w:rsid w:val="00182CF4"/>
    <w:rsid w:val="00182E16"/>
    <w:rsid w:val="00186CE1"/>
    <w:rsid w:val="00190635"/>
    <w:rsid w:val="00192F12"/>
    <w:rsid w:val="00193C6C"/>
    <w:rsid w:val="00193F14"/>
    <w:rsid w:val="00197614"/>
    <w:rsid w:val="001A0312"/>
    <w:rsid w:val="001A15DA"/>
    <w:rsid w:val="001A2086"/>
    <w:rsid w:val="001A2694"/>
    <w:rsid w:val="001A3CC7"/>
    <w:rsid w:val="001A69AC"/>
    <w:rsid w:val="001B2F41"/>
    <w:rsid w:val="001B5C85"/>
    <w:rsid w:val="001B67D8"/>
    <w:rsid w:val="001B6F95"/>
    <w:rsid w:val="001C05A1"/>
    <w:rsid w:val="001C1D9E"/>
    <w:rsid w:val="001C795A"/>
    <w:rsid w:val="001C7C3B"/>
    <w:rsid w:val="001D4F0C"/>
    <w:rsid w:val="001D5B6F"/>
    <w:rsid w:val="001E0AB8"/>
    <w:rsid w:val="001E37D1"/>
    <w:rsid w:val="001E38E0"/>
    <w:rsid w:val="001E4247"/>
    <w:rsid w:val="001E44BA"/>
    <w:rsid w:val="001E4E72"/>
    <w:rsid w:val="001E62B3"/>
    <w:rsid w:val="001F0171"/>
    <w:rsid w:val="001F0D77"/>
    <w:rsid w:val="001F3158"/>
    <w:rsid w:val="001F7C14"/>
    <w:rsid w:val="001F7DD8"/>
    <w:rsid w:val="00200022"/>
    <w:rsid w:val="00201928"/>
    <w:rsid w:val="00203E26"/>
    <w:rsid w:val="0020449C"/>
    <w:rsid w:val="002113B8"/>
    <w:rsid w:val="00212CF6"/>
    <w:rsid w:val="00214FF2"/>
    <w:rsid w:val="00215665"/>
    <w:rsid w:val="002163BB"/>
    <w:rsid w:val="0021792C"/>
    <w:rsid w:val="002226DD"/>
    <w:rsid w:val="002240AB"/>
    <w:rsid w:val="00225E37"/>
    <w:rsid w:val="0022636B"/>
    <w:rsid w:val="00242E3A"/>
    <w:rsid w:val="00246024"/>
    <w:rsid w:val="002504CB"/>
    <w:rsid w:val="002506CF"/>
    <w:rsid w:val="0025107F"/>
    <w:rsid w:val="00260463"/>
    <w:rsid w:val="00260CD4"/>
    <w:rsid w:val="00261E33"/>
    <w:rsid w:val="002639D8"/>
    <w:rsid w:val="00265F77"/>
    <w:rsid w:val="00266C83"/>
    <w:rsid w:val="002679E4"/>
    <w:rsid w:val="00270A9E"/>
    <w:rsid w:val="00273090"/>
    <w:rsid w:val="002768DC"/>
    <w:rsid w:val="002803A1"/>
    <w:rsid w:val="00280EF0"/>
    <w:rsid w:val="00284D9F"/>
    <w:rsid w:val="00296FE8"/>
    <w:rsid w:val="00297C92"/>
    <w:rsid w:val="002A6C56"/>
    <w:rsid w:val="002B5FC5"/>
    <w:rsid w:val="002C090C"/>
    <w:rsid w:val="002C1243"/>
    <w:rsid w:val="002C1815"/>
    <w:rsid w:val="002C475E"/>
    <w:rsid w:val="002C6AD6"/>
    <w:rsid w:val="002D6C2A"/>
    <w:rsid w:val="002D7A86"/>
    <w:rsid w:val="002F08D0"/>
    <w:rsid w:val="002F24C3"/>
    <w:rsid w:val="002F45FF"/>
    <w:rsid w:val="002F4A66"/>
    <w:rsid w:val="002F6D17"/>
    <w:rsid w:val="00301EE2"/>
    <w:rsid w:val="00302887"/>
    <w:rsid w:val="003056EB"/>
    <w:rsid w:val="003071FF"/>
    <w:rsid w:val="00310652"/>
    <w:rsid w:val="0031371D"/>
    <w:rsid w:val="00315BD7"/>
    <w:rsid w:val="0031789F"/>
    <w:rsid w:val="00320788"/>
    <w:rsid w:val="003233A3"/>
    <w:rsid w:val="003372A6"/>
    <w:rsid w:val="00342DEA"/>
    <w:rsid w:val="0034455D"/>
    <w:rsid w:val="0034604B"/>
    <w:rsid w:val="00346D17"/>
    <w:rsid w:val="00347972"/>
    <w:rsid w:val="00352331"/>
    <w:rsid w:val="003559CC"/>
    <w:rsid w:val="003569D7"/>
    <w:rsid w:val="003608AC"/>
    <w:rsid w:val="00361370"/>
    <w:rsid w:val="0036465A"/>
    <w:rsid w:val="003753F9"/>
    <w:rsid w:val="00387B57"/>
    <w:rsid w:val="00392C65"/>
    <w:rsid w:val="00392ED5"/>
    <w:rsid w:val="003A19DC"/>
    <w:rsid w:val="003A1AF2"/>
    <w:rsid w:val="003A1B45"/>
    <w:rsid w:val="003B117A"/>
    <w:rsid w:val="003B46FC"/>
    <w:rsid w:val="003B5767"/>
    <w:rsid w:val="003B7605"/>
    <w:rsid w:val="003C3939"/>
    <w:rsid w:val="003C6BCA"/>
    <w:rsid w:val="003C7902"/>
    <w:rsid w:val="003D0BFF"/>
    <w:rsid w:val="003D1A33"/>
    <w:rsid w:val="003E56FA"/>
    <w:rsid w:val="003E5BE5"/>
    <w:rsid w:val="003F18D1"/>
    <w:rsid w:val="003F4F0E"/>
    <w:rsid w:val="003F6E06"/>
    <w:rsid w:val="00400447"/>
    <w:rsid w:val="00403C7A"/>
    <w:rsid w:val="00404090"/>
    <w:rsid w:val="004057A6"/>
    <w:rsid w:val="00406554"/>
    <w:rsid w:val="00410BB1"/>
    <w:rsid w:val="004131B0"/>
    <w:rsid w:val="00416C42"/>
    <w:rsid w:val="00422476"/>
    <w:rsid w:val="0042385C"/>
    <w:rsid w:val="00431654"/>
    <w:rsid w:val="00431EC3"/>
    <w:rsid w:val="00432152"/>
    <w:rsid w:val="004332D8"/>
    <w:rsid w:val="00434926"/>
    <w:rsid w:val="00435EDC"/>
    <w:rsid w:val="00444217"/>
    <w:rsid w:val="00444DD7"/>
    <w:rsid w:val="004478F4"/>
    <w:rsid w:val="00450F7A"/>
    <w:rsid w:val="00452C6D"/>
    <w:rsid w:val="00455E0B"/>
    <w:rsid w:val="004659EE"/>
    <w:rsid w:val="0046731F"/>
    <w:rsid w:val="00473F97"/>
    <w:rsid w:val="0047497C"/>
    <w:rsid w:val="0047510B"/>
    <w:rsid w:val="00476063"/>
    <w:rsid w:val="004762DD"/>
    <w:rsid w:val="004838DC"/>
    <w:rsid w:val="0048545F"/>
    <w:rsid w:val="00485C01"/>
    <w:rsid w:val="00493095"/>
    <w:rsid w:val="004936C2"/>
    <w:rsid w:val="0049379C"/>
    <w:rsid w:val="0049685E"/>
    <w:rsid w:val="00497BA8"/>
    <w:rsid w:val="004A1356"/>
    <w:rsid w:val="004A1CA0"/>
    <w:rsid w:val="004A22E9"/>
    <w:rsid w:val="004A4ACD"/>
    <w:rsid w:val="004A5BC5"/>
    <w:rsid w:val="004B023D"/>
    <w:rsid w:val="004B21A5"/>
    <w:rsid w:val="004C0909"/>
    <w:rsid w:val="004C3F97"/>
    <w:rsid w:val="004C57A9"/>
    <w:rsid w:val="004D01F2"/>
    <w:rsid w:val="004D3339"/>
    <w:rsid w:val="004D353F"/>
    <w:rsid w:val="004D36D7"/>
    <w:rsid w:val="004D3922"/>
    <w:rsid w:val="004D682B"/>
    <w:rsid w:val="004D73FA"/>
    <w:rsid w:val="004E6152"/>
    <w:rsid w:val="004F344A"/>
    <w:rsid w:val="00503834"/>
    <w:rsid w:val="00504ED4"/>
    <w:rsid w:val="00510639"/>
    <w:rsid w:val="00510DBF"/>
    <w:rsid w:val="00516142"/>
    <w:rsid w:val="00520027"/>
    <w:rsid w:val="0052093C"/>
    <w:rsid w:val="00521B31"/>
    <w:rsid w:val="00522469"/>
    <w:rsid w:val="0052400A"/>
    <w:rsid w:val="0052621F"/>
    <w:rsid w:val="00527D13"/>
    <w:rsid w:val="00536F43"/>
    <w:rsid w:val="00543FED"/>
    <w:rsid w:val="005510BA"/>
    <w:rsid w:val="00554B4E"/>
    <w:rsid w:val="00556C02"/>
    <w:rsid w:val="00561BB2"/>
    <w:rsid w:val="00563249"/>
    <w:rsid w:val="00564BF7"/>
    <w:rsid w:val="00564DD7"/>
    <w:rsid w:val="00570A65"/>
    <w:rsid w:val="00574CB0"/>
    <w:rsid w:val="00574EA8"/>
    <w:rsid w:val="005762B1"/>
    <w:rsid w:val="00580456"/>
    <w:rsid w:val="00580E73"/>
    <w:rsid w:val="00593386"/>
    <w:rsid w:val="00594B4C"/>
    <w:rsid w:val="00596998"/>
    <w:rsid w:val="00597115"/>
    <w:rsid w:val="005A3595"/>
    <w:rsid w:val="005A6E62"/>
    <w:rsid w:val="005C6CD3"/>
    <w:rsid w:val="005D0325"/>
    <w:rsid w:val="005D1E89"/>
    <w:rsid w:val="005D2B29"/>
    <w:rsid w:val="005D354A"/>
    <w:rsid w:val="005D379B"/>
    <w:rsid w:val="005D522B"/>
    <w:rsid w:val="005D67F2"/>
    <w:rsid w:val="005D7F6A"/>
    <w:rsid w:val="005E082A"/>
    <w:rsid w:val="005E3235"/>
    <w:rsid w:val="005E4176"/>
    <w:rsid w:val="005E53A7"/>
    <w:rsid w:val="005E65B5"/>
    <w:rsid w:val="005F12A4"/>
    <w:rsid w:val="005F3AE9"/>
    <w:rsid w:val="005F5957"/>
    <w:rsid w:val="006007BB"/>
    <w:rsid w:val="00601DC0"/>
    <w:rsid w:val="006034CB"/>
    <w:rsid w:val="00612FFB"/>
    <w:rsid w:val="006131CE"/>
    <w:rsid w:val="00617D6E"/>
    <w:rsid w:val="00621434"/>
    <w:rsid w:val="006221CB"/>
    <w:rsid w:val="00622A70"/>
    <w:rsid w:val="00622D61"/>
    <w:rsid w:val="00624198"/>
    <w:rsid w:val="00624FE9"/>
    <w:rsid w:val="00635C40"/>
    <w:rsid w:val="006428E5"/>
    <w:rsid w:val="00642F81"/>
    <w:rsid w:val="00644958"/>
    <w:rsid w:val="006450BE"/>
    <w:rsid w:val="00652289"/>
    <w:rsid w:val="00660D47"/>
    <w:rsid w:val="00672919"/>
    <w:rsid w:val="006858DC"/>
    <w:rsid w:val="00686587"/>
    <w:rsid w:val="006904CF"/>
    <w:rsid w:val="00695EE2"/>
    <w:rsid w:val="0069660B"/>
    <w:rsid w:val="006A1B33"/>
    <w:rsid w:val="006A48F1"/>
    <w:rsid w:val="006A71A3"/>
    <w:rsid w:val="006B03F2"/>
    <w:rsid w:val="006B1639"/>
    <w:rsid w:val="006B312B"/>
    <w:rsid w:val="006B4923"/>
    <w:rsid w:val="006B52B2"/>
    <w:rsid w:val="006B5CA7"/>
    <w:rsid w:val="006B5E89"/>
    <w:rsid w:val="006C19B2"/>
    <w:rsid w:val="006C2EDA"/>
    <w:rsid w:val="006C30A0"/>
    <w:rsid w:val="006C35FF"/>
    <w:rsid w:val="006C57F2"/>
    <w:rsid w:val="006C5949"/>
    <w:rsid w:val="006C6832"/>
    <w:rsid w:val="006D1370"/>
    <w:rsid w:val="006D2C28"/>
    <w:rsid w:val="006D3FC1"/>
    <w:rsid w:val="006E09F7"/>
    <w:rsid w:val="006E3042"/>
    <w:rsid w:val="006E6581"/>
    <w:rsid w:val="006E71DF"/>
    <w:rsid w:val="006F1CC4"/>
    <w:rsid w:val="006F2A86"/>
    <w:rsid w:val="006F3163"/>
    <w:rsid w:val="00705FEC"/>
    <w:rsid w:val="00706B03"/>
    <w:rsid w:val="0070790A"/>
    <w:rsid w:val="0071147A"/>
    <w:rsid w:val="0071185D"/>
    <w:rsid w:val="007152A1"/>
    <w:rsid w:val="0071571F"/>
    <w:rsid w:val="007222AD"/>
    <w:rsid w:val="007267CF"/>
    <w:rsid w:val="00731F3F"/>
    <w:rsid w:val="00733BAB"/>
    <w:rsid w:val="007341A0"/>
    <w:rsid w:val="00736BFB"/>
    <w:rsid w:val="007436BF"/>
    <w:rsid w:val="007443E9"/>
    <w:rsid w:val="00745D42"/>
    <w:rsid w:val="00745DCE"/>
    <w:rsid w:val="00750E36"/>
    <w:rsid w:val="00752D6E"/>
    <w:rsid w:val="00753D89"/>
    <w:rsid w:val="00755C9B"/>
    <w:rsid w:val="00757116"/>
    <w:rsid w:val="00760FE4"/>
    <w:rsid w:val="00763D8B"/>
    <w:rsid w:val="007657F6"/>
    <w:rsid w:val="00765E47"/>
    <w:rsid w:val="0077125A"/>
    <w:rsid w:val="00775527"/>
    <w:rsid w:val="00781BEC"/>
    <w:rsid w:val="00786F58"/>
    <w:rsid w:val="00787CC1"/>
    <w:rsid w:val="00791C4B"/>
    <w:rsid w:val="00792F4E"/>
    <w:rsid w:val="0079398D"/>
    <w:rsid w:val="007962B4"/>
    <w:rsid w:val="00796C25"/>
    <w:rsid w:val="007A055C"/>
    <w:rsid w:val="007A0885"/>
    <w:rsid w:val="007A287C"/>
    <w:rsid w:val="007A3B2A"/>
    <w:rsid w:val="007B5522"/>
    <w:rsid w:val="007C0EE0"/>
    <w:rsid w:val="007C1B71"/>
    <w:rsid w:val="007C2FBB"/>
    <w:rsid w:val="007C7164"/>
    <w:rsid w:val="007C7ED3"/>
    <w:rsid w:val="007D1984"/>
    <w:rsid w:val="007D25DD"/>
    <w:rsid w:val="007D2AFE"/>
    <w:rsid w:val="007D40D8"/>
    <w:rsid w:val="007E2C56"/>
    <w:rsid w:val="007E3FEA"/>
    <w:rsid w:val="007F0A0B"/>
    <w:rsid w:val="007F3A60"/>
    <w:rsid w:val="007F3D0B"/>
    <w:rsid w:val="007F3FC8"/>
    <w:rsid w:val="007F7C94"/>
    <w:rsid w:val="008013AA"/>
    <w:rsid w:val="00802220"/>
    <w:rsid w:val="00810E4B"/>
    <w:rsid w:val="00814BAA"/>
    <w:rsid w:val="00820DBC"/>
    <w:rsid w:val="00824295"/>
    <w:rsid w:val="00825942"/>
    <w:rsid w:val="008313F3"/>
    <w:rsid w:val="008405BB"/>
    <w:rsid w:val="00846494"/>
    <w:rsid w:val="00847B20"/>
    <w:rsid w:val="008509D3"/>
    <w:rsid w:val="00851A22"/>
    <w:rsid w:val="00853418"/>
    <w:rsid w:val="00857CF6"/>
    <w:rsid w:val="008610ED"/>
    <w:rsid w:val="00861C6A"/>
    <w:rsid w:val="00865199"/>
    <w:rsid w:val="00867EAF"/>
    <w:rsid w:val="0087336A"/>
    <w:rsid w:val="00873C6B"/>
    <w:rsid w:val="008747E8"/>
    <w:rsid w:val="0088426A"/>
    <w:rsid w:val="008852BA"/>
    <w:rsid w:val="00890108"/>
    <w:rsid w:val="00893877"/>
    <w:rsid w:val="0089532C"/>
    <w:rsid w:val="00896165"/>
    <w:rsid w:val="00896681"/>
    <w:rsid w:val="008A2749"/>
    <w:rsid w:val="008A3348"/>
    <w:rsid w:val="008A3A90"/>
    <w:rsid w:val="008A3C46"/>
    <w:rsid w:val="008B06D4"/>
    <w:rsid w:val="008B244D"/>
    <w:rsid w:val="008B4F20"/>
    <w:rsid w:val="008B7FFD"/>
    <w:rsid w:val="008C2920"/>
    <w:rsid w:val="008C4307"/>
    <w:rsid w:val="008C7015"/>
    <w:rsid w:val="008D23DF"/>
    <w:rsid w:val="008D4FA5"/>
    <w:rsid w:val="008D73BF"/>
    <w:rsid w:val="008D7F09"/>
    <w:rsid w:val="008E5B64"/>
    <w:rsid w:val="008E7DAA"/>
    <w:rsid w:val="008F0094"/>
    <w:rsid w:val="008F340F"/>
    <w:rsid w:val="008F4863"/>
    <w:rsid w:val="00902932"/>
    <w:rsid w:val="00903523"/>
    <w:rsid w:val="0090659A"/>
    <w:rsid w:val="00915986"/>
    <w:rsid w:val="00917624"/>
    <w:rsid w:val="00930386"/>
    <w:rsid w:val="009309F5"/>
    <w:rsid w:val="009324C4"/>
    <w:rsid w:val="00933237"/>
    <w:rsid w:val="00933F28"/>
    <w:rsid w:val="00945C15"/>
    <w:rsid w:val="00945C68"/>
    <w:rsid w:val="00946F33"/>
    <w:rsid w:val="009476C0"/>
    <w:rsid w:val="00951F49"/>
    <w:rsid w:val="00963E34"/>
    <w:rsid w:val="00964DFA"/>
    <w:rsid w:val="00966BE5"/>
    <w:rsid w:val="00966C62"/>
    <w:rsid w:val="009706EC"/>
    <w:rsid w:val="009722C5"/>
    <w:rsid w:val="00973343"/>
    <w:rsid w:val="00973DBE"/>
    <w:rsid w:val="00975DAB"/>
    <w:rsid w:val="0098155C"/>
    <w:rsid w:val="0098189F"/>
    <w:rsid w:val="00983B77"/>
    <w:rsid w:val="00985FB7"/>
    <w:rsid w:val="00986F47"/>
    <w:rsid w:val="00996053"/>
    <w:rsid w:val="009A0B2F"/>
    <w:rsid w:val="009A0EAB"/>
    <w:rsid w:val="009A1CF4"/>
    <w:rsid w:val="009A371D"/>
    <w:rsid w:val="009A37D7"/>
    <w:rsid w:val="009A4E17"/>
    <w:rsid w:val="009A6955"/>
    <w:rsid w:val="009B341C"/>
    <w:rsid w:val="009B5747"/>
    <w:rsid w:val="009D0BAD"/>
    <w:rsid w:val="009D2C27"/>
    <w:rsid w:val="009D59D1"/>
    <w:rsid w:val="009E2309"/>
    <w:rsid w:val="009E42B9"/>
    <w:rsid w:val="009E693A"/>
    <w:rsid w:val="009F1089"/>
    <w:rsid w:val="009F5F35"/>
    <w:rsid w:val="009F6255"/>
    <w:rsid w:val="00A014A3"/>
    <w:rsid w:val="00A0412D"/>
    <w:rsid w:val="00A21211"/>
    <w:rsid w:val="00A34E7F"/>
    <w:rsid w:val="00A4021F"/>
    <w:rsid w:val="00A46F0A"/>
    <w:rsid w:val="00A46F25"/>
    <w:rsid w:val="00A47CC2"/>
    <w:rsid w:val="00A47D3B"/>
    <w:rsid w:val="00A5704B"/>
    <w:rsid w:val="00A57E23"/>
    <w:rsid w:val="00A60146"/>
    <w:rsid w:val="00A60259"/>
    <w:rsid w:val="00A61595"/>
    <w:rsid w:val="00A622C4"/>
    <w:rsid w:val="00A72355"/>
    <w:rsid w:val="00A754B4"/>
    <w:rsid w:val="00A807C1"/>
    <w:rsid w:val="00A82032"/>
    <w:rsid w:val="00A83374"/>
    <w:rsid w:val="00A84FFD"/>
    <w:rsid w:val="00A85FD9"/>
    <w:rsid w:val="00A86204"/>
    <w:rsid w:val="00A86EB9"/>
    <w:rsid w:val="00A87035"/>
    <w:rsid w:val="00A96172"/>
    <w:rsid w:val="00AA7B2E"/>
    <w:rsid w:val="00AB04C8"/>
    <w:rsid w:val="00AB0D6A"/>
    <w:rsid w:val="00AB0E42"/>
    <w:rsid w:val="00AB43B3"/>
    <w:rsid w:val="00AB49B9"/>
    <w:rsid w:val="00AB758A"/>
    <w:rsid w:val="00AC1E7E"/>
    <w:rsid w:val="00AC507D"/>
    <w:rsid w:val="00AC66E4"/>
    <w:rsid w:val="00AD4578"/>
    <w:rsid w:val="00AD6410"/>
    <w:rsid w:val="00AD68E9"/>
    <w:rsid w:val="00AE16A3"/>
    <w:rsid w:val="00AE1DB9"/>
    <w:rsid w:val="00AE56C0"/>
    <w:rsid w:val="00AE5C88"/>
    <w:rsid w:val="00AE7733"/>
    <w:rsid w:val="00AF12C4"/>
    <w:rsid w:val="00AF1488"/>
    <w:rsid w:val="00AF3B9F"/>
    <w:rsid w:val="00AF7B65"/>
    <w:rsid w:val="00B00914"/>
    <w:rsid w:val="00B00B67"/>
    <w:rsid w:val="00B02A8E"/>
    <w:rsid w:val="00B052EE"/>
    <w:rsid w:val="00B1081F"/>
    <w:rsid w:val="00B254D8"/>
    <w:rsid w:val="00B27499"/>
    <w:rsid w:val="00B3010D"/>
    <w:rsid w:val="00B35151"/>
    <w:rsid w:val="00B35A3A"/>
    <w:rsid w:val="00B433F2"/>
    <w:rsid w:val="00B458E8"/>
    <w:rsid w:val="00B5397B"/>
    <w:rsid w:val="00B56B9A"/>
    <w:rsid w:val="00B574AF"/>
    <w:rsid w:val="00B606FD"/>
    <w:rsid w:val="00B62809"/>
    <w:rsid w:val="00B7675A"/>
    <w:rsid w:val="00B81898"/>
    <w:rsid w:val="00B8606B"/>
    <w:rsid w:val="00B878E7"/>
    <w:rsid w:val="00B97278"/>
    <w:rsid w:val="00B97943"/>
    <w:rsid w:val="00BA1D0B"/>
    <w:rsid w:val="00BA5A54"/>
    <w:rsid w:val="00BA6972"/>
    <w:rsid w:val="00BB1E0D"/>
    <w:rsid w:val="00BB4D9B"/>
    <w:rsid w:val="00BB73FF"/>
    <w:rsid w:val="00BB7688"/>
    <w:rsid w:val="00BC3541"/>
    <w:rsid w:val="00BC3E96"/>
    <w:rsid w:val="00BC7CAC"/>
    <w:rsid w:val="00BD1768"/>
    <w:rsid w:val="00BD6D76"/>
    <w:rsid w:val="00BE3516"/>
    <w:rsid w:val="00BE56B3"/>
    <w:rsid w:val="00BF04E8"/>
    <w:rsid w:val="00BF0A70"/>
    <w:rsid w:val="00BF16BF"/>
    <w:rsid w:val="00BF2C30"/>
    <w:rsid w:val="00BF46EF"/>
    <w:rsid w:val="00BF4D1F"/>
    <w:rsid w:val="00C02A73"/>
    <w:rsid w:val="00C041B1"/>
    <w:rsid w:val="00C063D2"/>
    <w:rsid w:val="00C07FD9"/>
    <w:rsid w:val="00C10955"/>
    <w:rsid w:val="00C11A35"/>
    <w:rsid w:val="00C11C4D"/>
    <w:rsid w:val="00C1712C"/>
    <w:rsid w:val="00C23E16"/>
    <w:rsid w:val="00C268D6"/>
    <w:rsid w:val="00C26CC3"/>
    <w:rsid w:val="00C27E37"/>
    <w:rsid w:val="00C32713"/>
    <w:rsid w:val="00C351B8"/>
    <w:rsid w:val="00C410D9"/>
    <w:rsid w:val="00C41168"/>
    <w:rsid w:val="00C44DB7"/>
    <w:rsid w:val="00C4510A"/>
    <w:rsid w:val="00C47F17"/>
    <w:rsid w:val="00C47F2E"/>
    <w:rsid w:val="00C52BA6"/>
    <w:rsid w:val="00C57A1A"/>
    <w:rsid w:val="00C6258F"/>
    <w:rsid w:val="00C63DF6"/>
    <w:rsid w:val="00C63E58"/>
    <w:rsid w:val="00C64523"/>
    <w:rsid w:val="00C6495E"/>
    <w:rsid w:val="00C670EE"/>
    <w:rsid w:val="00C67E3B"/>
    <w:rsid w:val="00C80621"/>
    <w:rsid w:val="00C87EB9"/>
    <w:rsid w:val="00C90311"/>
    <w:rsid w:val="00C91C26"/>
    <w:rsid w:val="00C91D5D"/>
    <w:rsid w:val="00C96711"/>
    <w:rsid w:val="00CA73D5"/>
    <w:rsid w:val="00CC1C87"/>
    <w:rsid w:val="00CC3000"/>
    <w:rsid w:val="00CC4859"/>
    <w:rsid w:val="00CC7A35"/>
    <w:rsid w:val="00CD072A"/>
    <w:rsid w:val="00CD1626"/>
    <w:rsid w:val="00CD7F73"/>
    <w:rsid w:val="00CE2034"/>
    <w:rsid w:val="00CE26C5"/>
    <w:rsid w:val="00CE36AF"/>
    <w:rsid w:val="00CE54DD"/>
    <w:rsid w:val="00CF0DA5"/>
    <w:rsid w:val="00CF5536"/>
    <w:rsid w:val="00CF5D31"/>
    <w:rsid w:val="00CF5F3B"/>
    <w:rsid w:val="00CF791A"/>
    <w:rsid w:val="00CF7D0D"/>
    <w:rsid w:val="00D00D7D"/>
    <w:rsid w:val="00D00DCB"/>
    <w:rsid w:val="00D05F6D"/>
    <w:rsid w:val="00D07B89"/>
    <w:rsid w:val="00D11456"/>
    <w:rsid w:val="00D12A78"/>
    <w:rsid w:val="00D139C8"/>
    <w:rsid w:val="00D17238"/>
    <w:rsid w:val="00D17F81"/>
    <w:rsid w:val="00D2266E"/>
    <w:rsid w:val="00D2758C"/>
    <w:rsid w:val="00D275CA"/>
    <w:rsid w:val="00D2789B"/>
    <w:rsid w:val="00D336C1"/>
    <w:rsid w:val="00D345AB"/>
    <w:rsid w:val="00D41566"/>
    <w:rsid w:val="00D458EC"/>
    <w:rsid w:val="00D501B0"/>
    <w:rsid w:val="00D52582"/>
    <w:rsid w:val="00D56A0E"/>
    <w:rsid w:val="00D57AD3"/>
    <w:rsid w:val="00D60E99"/>
    <w:rsid w:val="00D6147E"/>
    <w:rsid w:val="00D635FE"/>
    <w:rsid w:val="00D704E6"/>
    <w:rsid w:val="00D70F84"/>
    <w:rsid w:val="00D729DE"/>
    <w:rsid w:val="00D73B26"/>
    <w:rsid w:val="00D75B6A"/>
    <w:rsid w:val="00D84BDA"/>
    <w:rsid w:val="00D876A8"/>
    <w:rsid w:val="00D87F26"/>
    <w:rsid w:val="00D93063"/>
    <w:rsid w:val="00D933B0"/>
    <w:rsid w:val="00D977E8"/>
    <w:rsid w:val="00D97B16"/>
    <w:rsid w:val="00DA0A95"/>
    <w:rsid w:val="00DA6632"/>
    <w:rsid w:val="00DB1C89"/>
    <w:rsid w:val="00DB3763"/>
    <w:rsid w:val="00DB4029"/>
    <w:rsid w:val="00DB5F4D"/>
    <w:rsid w:val="00DB6DA5"/>
    <w:rsid w:val="00DC076B"/>
    <w:rsid w:val="00DC186F"/>
    <w:rsid w:val="00DC252F"/>
    <w:rsid w:val="00DC6050"/>
    <w:rsid w:val="00DD43EA"/>
    <w:rsid w:val="00DD5361"/>
    <w:rsid w:val="00DE6F44"/>
    <w:rsid w:val="00DF0CDE"/>
    <w:rsid w:val="00DF39D7"/>
    <w:rsid w:val="00E037D9"/>
    <w:rsid w:val="00E04927"/>
    <w:rsid w:val="00E130EB"/>
    <w:rsid w:val="00E15DCE"/>
    <w:rsid w:val="00E162CD"/>
    <w:rsid w:val="00E17FA5"/>
    <w:rsid w:val="00E24983"/>
    <w:rsid w:val="00E26930"/>
    <w:rsid w:val="00E27257"/>
    <w:rsid w:val="00E273A5"/>
    <w:rsid w:val="00E30F03"/>
    <w:rsid w:val="00E35D2F"/>
    <w:rsid w:val="00E35E4E"/>
    <w:rsid w:val="00E36AFF"/>
    <w:rsid w:val="00E449D0"/>
    <w:rsid w:val="00E4506A"/>
    <w:rsid w:val="00E53F99"/>
    <w:rsid w:val="00E56510"/>
    <w:rsid w:val="00E62EA8"/>
    <w:rsid w:val="00E67A6E"/>
    <w:rsid w:val="00E71B43"/>
    <w:rsid w:val="00E81612"/>
    <w:rsid w:val="00E84847"/>
    <w:rsid w:val="00E87D18"/>
    <w:rsid w:val="00E87D62"/>
    <w:rsid w:val="00E9583B"/>
    <w:rsid w:val="00EA0EFC"/>
    <w:rsid w:val="00EA3DC9"/>
    <w:rsid w:val="00EA4413"/>
    <w:rsid w:val="00EA486E"/>
    <w:rsid w:val="00EA4FA3"/>
    <w:rsid w:val="00EB001B"/>
    <w:rsid w:val="00EB48C8"/>
    <w:rsid w:val="00EB6C33"/>
    <w:rsid w:val="00ED6019"/>
    <w:rsid w:val="00ED6C36"/>
    <w:rsid w:val="00ED7830"/>
    <w:rsid w:val="00EE3909"/>
    <w:rsid w:val="00EF201F"/>
    <w:rsid w:val="00EF27AA"/>
    <w:rsid w:val="00EF4205"/>
    <w:rsid w:val="00EF5939"/>
    <w:rsid w:val="00F01714"/>
    <w:rsid w:val="00F0258F"/>
    <w:rsid w:val="00F02D06"/>
    <w:rsid w:val="00F056E5"/>
    <w:rsid w:val="00F06FDD"/>
    <w:rsid w:val="00F10819"/>
    <w:rsid w:val="00F156F9"/>
    <w:rsid w:val="00F16CE1"/>
    <w:rsid w:val="00F16F35"/>
    <w:rsid w:val="00F2229D"/>
    <w:rsid w:val="00F24080"/>
    <w:rsid w:val="00F25ABB"/>
    <w:rsid w:val="00F27963"/>
    <w:rsid w:val="00F30446"/>
    <w:rsid w:val="00F3295B"/>
    <w:rsid w:val="00F35203"/>
    <w:rsid w:val="00F36C20"/>
    <w:rsid w:val="00F37E00"/>
    <w:rsid w:val="00F4135D"/>
    <w:rsid w:val="00F41F1B"/>
    <w:rsid w:val="00F451D6"/>
    <w:rsid w:val="00F46BD9"/>
    <w:rsid w:val="00F46D39"/>
    <w:rsid w:val="00F52FD3"/>
    <w:rsid w:val="00F60BE0"/>
    <w:rsid w:val="00F6280E"/>
    <w:rsid w:val="00F63203"/>
    <w:rsid w:val="00F7050A"/>
    <w:rsid w:val="00F75533"/>
    <w:rsid w:val="00F7648B"/>
    <w:rsid w:val="00FA0CE7"/>
    <w:rsid w:val="00FA3811"/>
    <w:rsid w:val="00FA3B9F"/>
    <w:rsid w:val="00FA3F06"/>
    <w:rsid w:val="00FA4A26"/>
    <w:rsid w:val="00FA7084"/>
    <w:rsid w:val="00FA7BEF"/>
    <w:rsid w:val="00FB1929"/>
    <w:rsid w:val="00FB5FD9"/>
    <w:rsid w:val="00FD2939"/>
    <w:rsid w:val="00FD33AB"/>
    <w:rsid w:val="00FD4724"/>
    <w:rsid w:val="00FD4A68"/>
    <w:rsid w:val="00FD68ED"/>
    <w:rsid w:val="00FE2824"/>
    <w:rsid w:val="00FE661F"/>
    <w:rsid w:val="00FF0400"/>
    <w:rsid w:val="00FF3D6B"/>
    <w:rsid w:val="00FF4350"/>
    <w:rsid w:val="00FF5C5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431EC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31EC3"/>
    <w:rPr>
      <w:color w:val="0000FF"/>
      <w:u w:val="single"/>
    </w:rPr>
  </w:style>
  <w:style w:type="character" w:styleId="HTMLCite">
    <w:name w:val="HTML Cite"/>
    <w:uiPriority w:val="99"/>
    <w:semiHidden/>
    <w:unhideWhenUsed/>
    <w:rsid w:val="00820DBC"/>
    <w:rPr>
      <w:i/>
      <w:iCs/>
    </w:rPr>
  </w:style>
  <w:style w:type="character" w:styleId="FollowedHyperlink">
    <w:name w:val="FollowedHyperlink"/>
    <w:basedOn w:val="DefaultParagraphFont"/>
    <w:uiPriority w:val="99"/>
    <w:semiHidden/>
    <w:unhideWhenUsed/>
    <w:rsid w:val="00AB0E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266158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gnetwork.cisc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C2F60-0F20-4640-8CD2-50F72E42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2322</Words>
  <Characters>13538</Characters>
  <Application>Microsoft Office Word</Application>
  <DocSecurity>0</DocSecurity>
  <Lines>520</Lines>
  <Paragraphs>511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15349</CharactersWithSpaces>
  <SharedDoc>false</SharedDoc>
  <HLinks>
    <vt:vector size="6" baseType="variant">
      <vt:variant>
        <vt:i4>2228258</vt:i4>
      </vt:variant>
      <vt:variant>
        <vt:i4>0</vt:i4>
      </vt:variant>
      <vt:variant>
        <vt:i4>0</vt:i4>
      </vt:variant>
      <vt:variant>
        <vt:i4>5</vt:i4>
      </vt:variant>
      <vt:variant>
        <vt:lpwstr>https://learningnetwork.cisco.com/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13</cp:revision>
  <cp:lastPrinted>2015-06-23T17:03:00Z</cp:lastPrinted>
  <dcterms:created xsi:type="dcterms:W3CDTF">2015-06-11T23:55:00Z</dcterms:created>
  <dcterms:modified xsi:type="dcterms:W3CDTF">2015-12-14T08:37:00Z</dcterms:modified>
</cp:coreProperties>
</file>