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642CA5" w:rsidRDefault="002D6C2A" w:rsidP="00FD4A68">
      <w:pPr>
        <w:pStyle w:val="LabTitle"/>
        <w:rPr>
          <w:rStyle w:val="LabTitleInstVersred"/>
          <w:b/>
          <w:color w:val="auto"/>
        </w:rPr>
      </w:pPr>
      <w:r w:rsidRPr="00642CA5">
        <w:t xml:space="preserve">Práctica de laboratorio: Investigación de servicios de redes convergentes </w:t>
      </w:r>
      <w:r w:rsidRPr="00642CA5">
        <w:rPr>
          <w:rStyle w:val="LabTitleInstVersred"/>
        </w:rPr>
        <w:t>(versión para el instructor, práctica opcional)</w:t>
      </w:r>
    </w:p>
    <w:p w:rsidR="009A1CF4" w:rsidRPr="00642CA5" w:rsidRDefault="009A1CF4" w:rsidP="009A1CF4">
      <w:pPr>
        <w:pStyle w:val="InstNoteRed"/>
      </w:pPr>
      <w:r w:rsidRPr="00642CA5">
        <w:rPr>
          <w:b/>
        </w:rPr>
        <w:t>Nota para el instructor</w:t>
      </w:r>
      <w:r w:rsidRPr="00B85B59">
        <w:rPr>
          <w:bCs/>
        </w:rPr>
        <w:t>:</w:t>
      </w:r>
      <w:r w:rsidRPr="00642CA5">
        <w:t xml:space="preserve"> El color de fuente rojo o las partes resaltadas en gris indican texto que aparece en la copia del instructor solamente.</w:t>
      </w:r>
      <w:r w:rsidR="002064EA">
        <w:t xml:space="preserve"> </w:t>
      </w:r>
      <w:r w:rsidRPr="00642CA5">
        <w:t>Las actividades opcionales están elaboradas para mejorar la compresión o proporcionar práctica adicional.</w:t>
      </w:r>
    </w:p>
    <w:p w:rsidR="009D2C27" w:rsidRPr="00642CA5" w:rsidRDefault="009D2C27" w:rsidP="00BB73FF">
      <w:pPr>
        <w:pStyle w:val="LabSection"/>
      </w:pPr>
      <w:r w:rsidRPr="00642CA5">
        <w:t>Objetivos</w:t>
      </w:r>
    </w:p>
    <w:p w:rsidR="00554B4E" w:rsidRPr="00642CA5" w:rsidRDefault="00963E34" w:rsidP="004D267A">
      <w:pPr>
        <w:pStyle w:val="BodyTextL25Bold"/>
      </w:pPr>
      <w:r w:rsidRPr="00642CA5">
        <w:t>Parte 1: Evaluar su conocimiento de la convergencia</w:t>
      </w:r>
    </w:p>
    <w:p w:rsidR="006E6581" w:rsidRPr="00642CA5" w:rsidRDefault="006E6581" w:rsidP="004D267A">
      <w:pPr>
        <w:pStyle w:val="BodyTextL25Bold"/>
      </w:pPr>
      <w:r w:rsidRPr="00642CA5">
        <w:t>Parte 2: Investigar ISP que ofrecen servicios convergentes</w:t>
      </w:r>
    </w:p>
    <w:p w:rsidR="0052669B" w:rsidRPr="00642CA5" w:rsidRDefault="0052669B" w:rsidP="004D267A">
      <w:pPr>
        <w:pStyle w:val="BodyTextL25Bold"/>
      </w:pPr>
      <w:r w:rsidRPr="00642CA5">
        <w:t>Parte 3: Investigar ISP locales que ofrecen servicios convergentes</w:t>
      </w:r>
    </w:p>
    <w:p w:rsidR="0052669B" w:rsidRPr="00642CA5" w:rsidRDefault="0052669B" w:rsidP="004D267A">
      <w:pPr>
        <w:pStyle w:val="BodyTextL25Bold"/>
      </w:pPr>
      <w:r w:rsidRPr="00642CA5">
        <w:t>Parte 4: Seleccionar el mejor servicio convergente de un ISP local</w:t>
      </w:r>
    </w:p>
    <w:p w:rsidR="00DA5F28" w:rsidRPr="00642CA5" w:rsidRDefault="00DA5F28" w:rsidP="004D267A">
      <w:pPr>
        <w:pStyle w:val="BodyTextL25Bold"/>
      </w:pPr>
      <w:r w:rsidRPr="00642CA5">
        <w:t xml:space="preserve">Parte 5: Investigar </w:t>
      </w:r>
      <w:r w:rsidR="00DD3FC8">
        <w:t>empresa</w:t>
      </w:r>
      <w:r w:rsidRPr="00642CA5">
        <w:t>s o instituciones públicas locales que utilicen tecnologías de convergencia</w:t>
      </w:r>
      <w:bookmarkStart w:id="0" w:name="_GoBack"/>
      <w:bookmarkEnd w:id="0"/>
    </w:p>
    <w:p w:rsidR="00C07FD9" w:rsidRPr="00642CA5" w:rsidRDefault="009D2C27" w:rsidP="00C07FD9">
      <w:pPr>
        <w:pStyle w:val="LabSection"/>
      </w:pPr>
      <w:r w:rsidRPr="00642CA5">
        <w:t>Información básica/situación</w:t>
      </w:r>
    </w:p>
    <w:p w:rsidR="00BF7DD3" w:rsidRPr="00642CA5" w:rsidRDefault="00F052DE" w:rsidP="00BF7DD3">
      <w:pPr>
        <w:pStyle w:val="BodyTextL25"/>
      </w:pPr>
      <w:r w:rsidRPr="00642CA5">
        <w:t xml:space="preserve">En el contexto de redes, “convergencia” es un término que se utiliza para describir el proceso por el cual se combinan comunicaciones de voz, </w:t>
      </w:r>
      <w:r w:rsidR="00CF253E">
        <w:t>vídeo</w:t>
      </w:r>
      <w:r w:rsidRPr="00642CA5">
        <w:t xml:space="preserve"> y datos en una infraestructura de red común.</w:t>
      </w:r>
      <w:r w:rsidR="002064EA">
        <w:t xml:space="preserve"> </w:t>
      </w:r>
      <w:r w:rsidRPr="00642CA5">
        <w:t>Los avances tecnológicos pusieron la convergencia a disposición de las grandes, medianas y pequeñas empresas, así como del consumidor doméstico.</w:t>
      </w:r>
      <w:r w:rsidR="002064EA">
        <w:t xml:space="preserve"> </w:t>
      </w:r>
      <w:r w:rsidRPr="00642CA5">
        <w:t>En esta práctica de laboratorio, investigará los servicios convergentes disponibles para usted.</w:t>
      </w:r>
    </w:p>
    <w:p w:rsidR="007D2AFE" w:rsidRPr="00642CA5" w:rsidRDefault="007D2AFE" w:rsidP="007D2AFE">
      <w:pPr>
        <w:pStyle w:val="LabSection"/>
      </w:pPr>
      <w:r w:rsidRPr="00642CA5">
        <w:t>Recursos necesarios</w:t>
      </w:r>
    </w:p>
    <w:p w:rsidR="00672919" w:rsidRPr="00642CA5" w:rsidRDefault="009F3FCE" w:rsidP="00EB0A24">
      <w:pPr>
        <w:pStyle w:val="BodyTextL25"/>
      </w:pPr>
      <w:r w:rsidRPr="00642CA5">
        <w:t>Dispositivo con acceso a Internet</w:t>
      </w:r>
    </w:p>
    <w:p w:rsidR="00112AC5" w:rsidRPr="00642CA5" w:rsidRDefault="00E150C4" w:rsidP="005E6C84">
      <w:pPr>
        <w:pStyle w:val="PartHead"/>
      </w:pPr>
      <w:r w:rsidRPr="00642CA5">
        <w:t>Evaluar su conocimiento de la convergencia</w:t>
      </w:r>
    </w:p>
    <w:p w:rsidR="00112AC5" w:rsidRPr="00642CA5" w:rsidRDefault="00237443" w:rsidP="004D267A">
      <w:pPr>
        <w:pStyle w:val="InstNoteRedL25"/>
      </w:pPr>
      <w:r w:rsidRPr="00642CA5">
        <w:rPr>
          <w:b/>
        </w:rPr>
        <w:t>Nota para el instructor</w:t>
      </w:r>
      <w:r w:rsidRPr="00642CA5">
        <w:t>:</w:t>
      </w:r>
      <w:r w:rsidR="00B85B59">
        <w:t xml:space="preserve"> </w:t>
      </w:r>
      <w:r w:rsidRPr="00642CA5">
        <w:t>En la parte 1, el instructor quizá desee facilitar un debate con los estudiantes acerca de lo que entienden por convergencia, su definición y las posibles tecnologías utilizadas.</w:t>
      </w:r>
      <w:r w:rsidR="002064EA">
        <w:t xml:space="preserve"> </w:t>
      </w:r>
      <w:r w:rsidRPr="00642CA5">
        <w:t>Esta práctica de laboratorio puede asignarse como tarea para el hogar.</w:t>
      </w:r>
    </w:p>
    <w:p w:rsidR="00112AC5" w:rsidRPr="00642CA5" w:rsidRDefault="001A0196" w:rsidP="005E6C84">
      <w:pPr>
        <w:pStyle w:val="StepHead"/>
      </w:pPr>
      <w:r w:rsidRPr="00642CA5">
        <w:t>Describa su comprensión de la convergencia y dar ejemplos de su uso en el hogar.</w:t>
      </w:r>
    </w:p>
    <w:p w:rsidR="001A0196" w:rsidRPr="00642CA5" w:rsidRDefault="001A0196" w:rsidP="004D267A">
      <w:pPr>
        <w:pStyle w:val="BodyTextL25"/>
      </w:pPr>
      <w:r w:rsidRPr="00642CA5">
        <w:t>Escriba una definición de convergencia e indique al menos dos ejemplos.</w:t>
      </w:r>
    </w:p>
    <w:p w:rsidR="00F277D1" w:rsidRPr="00642CA5" w:rsidRDefault="00237443" w:rsidP="004D267A">
      <w:pPr>
        <w:pStyle w:val="BodyTextL25"/>
      </w:pPr>
      <w:r w:rsidRPr="00642CA5">
        <w:t>_______________________________________________________________________________________</w:t>
      </w:r>
    </w:p>
    <w:p w:rsidR="00F277D1" w:rsidRPr="00642CA5" w:rsidRDefault="00237443" w:rsidP="004D267A">
      <w:pPr>
        <w:pStyle w:val="BodyTextL25"/>
      </w:pPr>
      <w:r w:rsidRPr="00642CA5">
        <w:t>_______________________________________________________________________________________</w:t>
      </w:r>
    </w:p>
    <w:p w:rsidR="001A0196" w:rsidRPr="00642CA5" w:rsidRDefault="00237443" w:rsidP="004D267A">
      <w:pPr>
        <w:pStyle w:val="BodyTextL25"/>
      </w:pPr>
      <w:r w:rsidRPr="00642CA5">
        <w:t>_______________________________________________________________________________________</w:t>
      </w:r>
    </w:p>
    <w:p w:rsidR="00643C1B" w:rsidRPr="00642CA5" w:rsidRDefault="00643C1B" w:rsidP="00643C1B">
      <w:pPr>
        <w:pStyle w:val="BodyTextL25"/>
      </w:pPr>
      <w:r w:rsidRPr="00642CA5">
        <w:t>_______________________________________________________________________________________</w:t>
      </w:r>
    </w:p>
    <w:p w:rsidR="00643C1B" w:rsidRPr="00642CA5" w:rsidRDefault="00643C1B" w:rsidP="00643C1B">
      <w:pPr>
        <w:pStyle w:val="BodyTextL25"/>
      </w:pPr>
      <w:r w:rsidRPr="00642CA5">
        <w:t>_______________________________________________________________________________________</w:t>
      </w:r>
    </w:p>
    <w:p w:rsidR="00643C1B" w:rsidRPr="00642CA5" w:rsidRDefault="00643C1B" w:rsidP="00643C1B">
      <w:pPr>
        <w:pStyle w:val="BodyTextL25"/>
      </w:pPr>
      <w:r w:rsidRPr="00642CA5">
        <w:t>_______________________________________________________________________________________</w:t>
      </w:r>
    </w:p>
    <w:p w:rsidR="00643C1B" w:rsidRPr="00642CA5" w:rsidRDefault="00643C1B" w:rsidP="004D267A">
      <w:pPr>
        <w:pStyle w:val="BodyTextL25"/>
      </w:pPr>
      <w:r w:rsidRPr="00642CA5">
        <w:t>_______________________________________________________________________________________</w:t>
      </w:r>
    </w:p>
    <w:p w:rsidR="000E5BD5" w:rsidRPr="00642CA5" w:rsidRDefault="001A0196" w:rsidP="005E6C84">
      <w:pPr>
        <w:pStyle w:val="BodyTextL25"/>
        <w:pageBreakBefore/>
        <w:rPr>
          <w:rStyle w:val="AnswerGray"/>
        </w:rPr>
      </w:pPr>
      <w:r w:rsidRPr="00642CA5">
        <w:rPr>
          <w:rStyle w:val="AnswerGray"/>
        </w:rPr>
        <w:lastRenderedPageBreak/>
        <w:t xml:space="preserve">Convergencia: las redes convergentes son capaces de la entrega de voz, transmisiones de </w:t>
      </w:r>
      <w:r w:rsidR="00CF253E">
        <w:rPr>
          <w:rStyle w:val="AnswerGray"/>
        </w:rPr>
        <w:t>vídeo</w:t>
      </w:r>
      <w:r w:rsidRPr="00642CA5">
        <w:rPr>
          <w:rStyle w:val="AnswerGray"/>
        </w:rPr>
        <w:t>, texto y gráficos entre diversos tipos de dispositivos en el mismo canal de comunicación y la misma estructura de red.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>En una red convergente, existen muchos puntos de contacto y numerosos dispositivos especializados, como computadoras personales, teléfonos, TV y tablet</w:t>
      </w:r>
      <w:r w:rsidR="001742A7">
        <w:rPr>
          <w:rStyle w:val="AnswerGray"/>
          <w:rFonts w:hint="eastAsia"/>
          <w:lang w:eastAsia="zh-CN"/>
        </w:rPr>
        <w:t>a</w:t>
      </w:r>
      <w:r w:rsidRPr="00642CA5">
        <w:rPr>
          <w:rStyle w:val="AnswerGray"/>
        </w:rPr>
        <w:t>s, pero hay una infraestructura de red común.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>Un ejemplo de red convergente en el hogar es un servicio Triple Play de Charter.com.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 xml:space="preserve">La voz, el </w:t>
      </w:r>
      <w:r w:rsidR="00CF253E">
        <w:rPr>
          <w:rStyle w:val="AnswerGray"/>
        </w:rPr>
        <w:t>vídeo</w:t>
      </w:r>
      <w:r w:rsidRPr="00642CA5">
        <w:rPr>
          <w:rStyle w:val="AnswerGray"/>
        </w:rPr>
        <w:t xml:space="preserve"> (TV) y el teléfono se empaquetan y llegan al hogar por un solo cable, comúnmente, una fibra coaxial híbrida.</w:t>
      </w:r>
    </w:p>
    <w:p w:rsidR="00E83773" w:rsidRPr="00642CA5" w:rsidRDefault="000E5BD5" w:rsidP="005E6C84">
      <w:pPr>
        <w:pStyle w:val="PartHead"/>
        <w:rPr>
          <w:rStyle w:val="AnswerGray"/>
          <w:sz w:val="28"/>
          <w:shd w:val="clear" w:color="auto" w:fill="auto"/>
        </w:rPr>
      </w:pPr>
      <w:r w:rsidRPr="00642CA5">
        <w:rPr>
          <w:rStyle w:val="AnswerGray"/>
          <w:sz w:val="28"/>
          <w:shd w:val="clear" w:color="auto" w:fill="auto"/>
        </w:rPr>
        <w:t>Investigar ISP que ofrecen servicios convergentes</w:t>
      </w:r>
    </w:p>
    <w:p w:rsidR="00CC6F95" w:rsidRPr="00642CA5" w:rsidRDefault="00E83773" w:rsidP="004D267A">
      <w:pPr>
        <w:pStyle w:val="BodyTextL25"/>
        <w:rPr>
          <w:rStyle w:val="AnswerGray"/>
          <w:shd w:val="clear" w:color="auto" w:fill="auto"/>
        </w:rPr>
      </w:pPr>
      <w:r w:rsidRPr="00642CA5">
        <w:rPr>
          <w:rStyle w:val="AnswerGray"/>
          <w:shd w:val="clear" w:color="auto" w:fill="auto"/>
        </w:rPr>
        <w:t>En la parte 2, investigará y encontrará dos o tres ISP que ofrezcan servicios convergentes para el hogar, independientemente de su ubicación geográfica.</w:t>
      </w:r>
    </w:p>
    <w:p w:rsidR="00CC6F95" w:rsidRPr="00642CA5" w:rsidRDefault="00CC6F95" w:rsidP="005E6C84">
      <w:pPr>
        <w:pStyle w:val="StepHead"/>
        <w:rPr>
          <w:rStyle w:val="AnswerGray"/>
          <w:sz w:val="22"/>
          <w:shd w:val="clear" w:color="auto" w:fill="auto"/>
        </w:rPr>
      </w:pPr>
      <w:r w:rsidRPr="00642CA5">
        <w:rPr>
          <w:rStyle w:val="AnswerGray"/>
          <w:sz w:val="22"/>
          <w:shd w:val="clear" w:color="auto" w:fill="auto"/>
        </w:rPr>
        <w:t>Investigue diversos ISP que ofrezcan servicios convergentes.</w:t>
      </w:r>
    </w:p>
    <w:p w:rsidR="00CC6F95" w:rsidRPr="00642CA5" w:rsidRDefault="00CC6F95" w:rsidP="004D267A">
      <w:pPr>
        <w:pStyle w:val="BodyTextL25"/>
        <w:rPr>
          <w:rStyle w:val="AnswerGray"/>
          <w:shd w:val="clear" w:color="auto" w:fill="auto"/>
        </w:rPr>
      </w:pPr>
      <w:r w:rsidRPr="00642CA5">
        <w:rPr>
          <w:rStyle w:val="AnswerGray"/>
          <w:shd w:val="clear" w:color="auto" w:fill="auto"/>
        </w:rPr>
        <w:t>Enumere algunos de los ISP que encontró en su investigación.</w:t>
      </w:r>
    </w:p>
    <w:p w:rsidR="00CC6F95" w:rsidRPr="00642CA5" w:rsidRDefault="00237443" w:rsidP="004D267A">
      <w:pPr>
        <w:pStyle w:val="BodyTextL25"/>
        <w:rPr>
          <w:rStyle w:val="AnswerGray"/>
          <w:shd w:val="clear" w:color="auto" w:fill="auto"/>
        </w:rPr>
      </w:pPr>
      <w:r w:rsidRPr="00642CA5">
        <w:rPr>
          <w:rStyle w:val="AnswerGray"/>
          <w:shd w:val="clear" w:color="auto" w:fill="auto"/>
        </w:rPr>
        <w:t>_____________________________________________________________________________________</w:t>
      </w:r>
    </w:p>
    <w:p w:rsidR="00CC6F95" w:rsidRPr="00642CA5" w:rsidRDefault="00CC6F95" w:rsidP="004D267A">
      <w:pPr>
        <w:pStyle w:val="BodyTextL25"/>
        <w:rPr>
          <w:rStyle w:val="AnswerGray"/>
        </w:rPr>
      </w:pPr>
      <w:r w:rsidRPr="00642CA5">
        <w:rPr>
          <w:rStyle w:val="AnswerGray"/>
        </w:rPr>
        <w:t>Comcast</w:t>
      </w:r>
    </w:p>
    <w:p w:rsidR="00CC6F95" w:rsidRPr="00642CA5" w:rsidRDefault="00CC6F95" w:rsidP="004D267A">
      <w:pPr>
        <w:pStyle w:val="BodyTextL25"/>
        <w:rPr>
          <w:rStyle w:val="AnswerGray"/>
        </w:rPr>
      </w:pPr>
      <w:r w:rsidRPr="00642CA5">
        <w:rPr>
          <w:rStyle w:val="AnswerGray"/>
        </w:rPr>
        <w:t>Charter</w:t>
      </w:r>
    </w:p>
    <w:p w:rsidR="00E819E4" w:rsidRPr="00642CA5" w:rsidRDefault="00CC6F95" w:rsidP="004D267A">
      <w:pPr>
        <w:pStyle w:val="BodyTextL25"/>
        <w:rPr>
          <w:rStyle w:val="AnswerGray"/>
        </w:rPr>
      </w:pPr>
      <w:r w:rsidRPr="00642CA5">
        <w:rPr>
          <w:rStyle w:val="AnswerGray"/>
        </w:rPr>
        <w:t>AT&amp;T</w:t>
      </w:r>
    </w:p>
    <w:p w:rsidR="004D1E30" w:rsidRPr="00642CA5" w:rsidRDefault="00E819E4" w:rsidP="005E6C84">
      <w:pPr>
        <w:pStyle w:val="StepHead"/>
        <w:rPr>
          <w:rStyle w:val="AnswerGray"/>
          <w:sz w:val="22"/>
          <w:shd w:val="clear" w:color="auto" w:fill="auto"/>
        </w:rPr>
      </w:pPr>
      <w:r w:rsidRPr="00642CA5">
        <w:rPr>
          <w:rStyle w:val="AnswerGray"/>
          <w:sz w:val="22"/>
          <w:shd w:val="clear" w:color="auto" w:fill="auto"/>
        </w:rPr>
        <w:t>Complete el siguiente formulario para los ISP que seleccionó.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148"/>
        <w:gridCol w:w="5148"/>
      </w:tblGrid>
      <w:tr w:rsidR="008F4D7F" w:rsidRPr="00642CA5" w:rsidTr="0078143C">
        <w:trPr>
          <w:cantSplit/>
          <w:jc w:val="center"/>
        </w:trPr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642CA5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 w:rsidRPr="00642CA5">
              <w:rPr>
                <w:rStyle w:val="AnswerGray"/>
                <w:shd w:val="clear" w:color="auto" w:fill="auto"/>
              </w:rPr>
              <w:t>Proveedor de servicios de Internet</w:t>
            </w:r>
          </w:p>
        </w:tc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642CA5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 w:rsidRPr="00642CA5">
              <w:rPr>
                <w:rStyle w:val="AnswerGray"/>
                <w:shd w:val="clear" w:color="auto" w:fill="auto"/>
              </w:rPr>
              <w:t>Nombre de producto del servicio convergente</w:t>
            </w:r>
          </w:p>
        </w:tc>
      </w:tr>
      <w:tr w:rsidR="008F4D7F" w:rsidRPr="00642CA5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642CA5" w:rsidRDefault="008F4D7F" w:rsidP="00A06D3B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Comcast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642CA5" w:rsidRDefault="00A71598" w:rsidP="00A06D3B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Xfinity Triple Play</w:t>
            </w:r>
          </w:p>
        </w:tc>
      </w:tr>
      <w:tr w:rsidR="008F4D7F" w:rsidRPr="00642CA5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642CA5" w:rsidRDefault="000375EF" w:rsidP="00A06D3B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Time Warner Cable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642CA5" w:rsidRDefault="006F0843" w:rsidP="000025A1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TV, Internet y telefonía</w:t>
            </w:r>
          </w:p>
        </w:tc>
      </w:tr>
      <w:tr w:rsidR="008F4D7F" w:rsidRPr="00642CA5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642CA5" w:rsidRDefault="00A71598" w:rsidP="000025A1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AT&amp;T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642CA5" w:rsidRDefault="00A71598" w:rsidP="000025A1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AT&amp;T U-verse</w:t>
            </w:r>
          </w:p>
        </w:tc>
      </w:tr>
    </w:tbl>
    <w:p w:rsidR="007F610A" w:rsidRPr="00642CA5" w:rsidRDefault="006226CF" w:rsidP="005E6C84">
      <w:pPr>
        <w:pStyle w:val="PartHead"/>
        <w:rPr>
          <w:rStyle w:val="AnswerGray"/>
          <w:sz w:val="28"/>
          <w:shd w:val="clear" w:color="auto" w:fill="auto"/>
        </w:rPr>
      </w:pPr>
      <w:r w:rsidRPr="00642CA5">
        <w:rPr>
          <w:rStyle w:val="AnswerGray"/>
          <w:sz w:val="28"/>
          <w:shd w:val="clear" w:color="auto" w:fill="auto"/>
        </w:rPr>
        <w:t>Investigar ISP locales que ofrezcan servicios convergentes</w:t>
      </w:r>
    </w:p>
    <w:p w:rsidR="007F610A" w:rsidRPr="00642CA5" w:rsidRDefault="007F610A" w:rsidP="004D267A">
      <w:pPr>
        <w:pStyle w:val="BodyTextL25"/>
      </w:pPr>
      <w:r w:rsidRPr="00642CA5">
        <w:rPr>
          <w:rStyle w:val="AnswerGray"/>
          <w:shd w:val="clear" w:color="auto" w:fill="auto"/>
        </w:rPr>
        <w:t>En la parte 3, investigará y encontrará dos o tres ISP locales que ofrezcan servicios convergentes para el hogar, independientemente de su ubicación geográfica.</w:t>
      </w:r>
    </w:p>
    <w:p w:rsidR="001C599E" w:rsidRPr="00642CA5" w:rsidRDefault="004322C7" w:rsidP="005E6C84">
      <w:pPr>
        <w:pStyle w:val="StepHead"/>
        <w:rPr>
          <w:rStyle w:val="AnswerGray"/>
          <w:sz w:val="22"/>
          <w:shd w:val="clear" w:color="auto" w:fill="auto"/>
        </w:rPr>
      </w:pPr>
      <w:r w:rsidRPr="00642CA5">
        <w:rPr>
          <w:rStyle w:val="AnswerGray"/>
          <w:sz w:val="22"/>
          <w:shd w:val="clear" w:color="auto" w:fill="auto"/>
        </w:rPr>
        <w:t>Investigue diversos ISP que ofrezcan servicios convergentes.</w:t>
      </w:r>
    </w:p>
    <w:p w:rsidR="008E2E90" w:rsidRPr="00642CA5" w:rsidRDefault="001C599E" w:rsidP="004D267A">
      <w:pPr>
        <w:pStyle w:val="BodyTextL25"/>
        <w:rPr>
          <w:rStyle w:val="AnswerGray"/>
          <w:shd w:val="clear" w:color="auto" w:fill="auto"/>
        </w:rPr>
      </w:pPr>
      <w:r w:rsidRPr="00642CA5">
        <w:rPr>
          <w:rStyle w:val="AnswerGray"/>
          <w:shd w:val="clear" w:color="auto" w:fill="auto"/>
        </w:rPr>
        <w:t>Enumere al menos dos de los ISP que encontró en su investigación.</w:t>
      </w:r>
    </w:p>
    <w:p w:rsidR="001C599E" w:rsidRPr="00642CA5" w:rsidRDefault="007807EF" w:rsidP="004D267A">
      <w:pPr>
        <w:pStyle w:val="BodyTextL25"/>
        <w:rPr>
          <w:rStyle w:val="AnswerGray"/>
          <w:shd w:val="clear" w:color="auto" w:fill="auto"/>
        </w:rPr>
      </w:pPr>
      <w:r w:rsidRPr="00642CA5"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1C599E" w:rsidRPr="00642CA5" w:rsidRDefault="00F3568D" w:rsidP="004D267A">
      <w:pPr>
        <w:pStyle w:val="BodyTextL25"/>
      </w:pPr>
      <w:r w:rsidRPr="00642CA5">
        <w:rPr>
          <w:rStyle w:val="AnswerGray"/>
        </w:rPr>
        <w:t>Las respuestas varían según la ubicación geográfica.</w:t>
      </w:r>
    </w:p>
    <w:p w:rsidR="00912A0F" w:rsidRPr="00642CA5" w:rsidRDefault="00912A0F" w:rsidP="005E6C84">
      <w:pPr>
        <w:pStyle w:val="StepHead"/>
        <w:keepNext w:val="0"/>
        <w:rPr>
          <w:rStyle w:val="AnswerGray"/>
          <w:sz w:val="22"/>
          <w:shd w:val="clear" w:color="auto" w:fill="auto"/>
        </w:rPr>
      </w:pPr>
      <w:r w:rsidRPr="00642CA5">
        <w:rPr>
          <w:rStyle w:val="AnswerGray"/>
          <w:sz w:val="22"/>
          <w:shd w:val="clear" w:color="auto" w:fill="auto"/>
        </w:rPr>
        <w:t>Complete el siguiente formulario para los ISP que seleccionó.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2630"/>
        <w:gridCol w:w="2478"/>
        <w:gridCol w:w="2297"/>
      </w:tblGrid>
      <w:tr w:rsidR="00912A0F" w:rsidRPr="00642CA5" w:rsidTr="0078143C">
        <w:trPr>
          <w:cantSplit/>
          <w:jc w:val="center"/>
        </w:trPr>
        <w:tc>
          <w:tcPr>
            <w:tcW w:w="25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642CA5" w:rsidRDefault="00912A0F" w:rsidP="005E6C84">
            <w:pPr>
              <w:pStyle w:val="TableHeading"/>
              <w:keepNext w:val="0"/>
            </w:pPr>
            <w:r w:rsidRPr="00642CA5">
              <w:t>Proveedor de servicios de Internet</w:t>
            </w:r>
          </w:p>
        </w:tc>
        <w:tc>
          <w:tcPr>
            <w:tcW w:w="2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642CA5" w:rsidRDefault="00912A0F" w:rsidP="005E6C84">
            <w:pPr>
              <w:pStyle w:val="TableHeading"/>
              <w:keepNext w:val="0"/>
            </w:pPr>
            <w:r w:rsidRPr="00642CA5">
              <w:t>Nombre de producto del servicio convergente</w:t>
            </w:r>
          </w:p>
        </w:tc>
        <w:tc>
          <w:tcPr>
            <w:tcW w:w="24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642CA5" w:rsidRDefault="00912A0F" w:rsidP="005E6C84">
            <w:pPr>
              <w:pStyle w:val="TableHeading"/>
              <w:keepNext w:val="0"/>
            </w:pPr>
            <w:r w:rsidRPr="00642CA5">
              <w:t>Costo por mes</w:t>
            </w:r>
          </w:p>
        </w:tc>
        <w:tc>
          <w:tcPr>
            <w:tcW w:w="2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642CA5" w:rsidRDefault="00912A0F" w:rsidP="005E6C84">
            <w:pPr>
              <w:pStyle w:val="TableHeading"/>
              <w:keepNext w:val="0"/>
            </w:pPr>
            <w:r w:rsidRPr="00642CA5">
              <w:t>Velocidad de descarga</w:t>
            </w:r>
          </w:p>
        </w:tc>
      </w:tr>
      <w:tr w:rsidR="00912A0F" w:rsidRPr="00642CA5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642CA5" w:rsidRDefault="00936160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Comcast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642CA5" w:rsidRDefault="00936160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Xfinity Triple Play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642CA5" w:rsidRDefault="00FF1449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USD 89,99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642CA5" w:rsidRDefault="000750E0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Varía de 10 a 16 Mbps</w:t>
            </w:r>
          </w:p>
        </w:tc>
      </w:tr>
      <w:tr w:rsidR="00912A0F" w:rsidRPr="00642CA5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642CA5" w:rsidRDefault="000375EF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Time Warner Cable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642CA5" w:rsidRDefault="006F0843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TV, Internet y telefonía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642CA5" w:rsidRDefault="006F0843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USD 99,99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642CA5" w:rsidRDefault="006F0843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10 Mbps</w:t>
            </w:r>
          </w:p>
        </w:tc>
      </w:tr>
      <w:tr w:rsidR="00912A0F" w:rsidRPr="00642CA5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912A0F" w:rsidRPr="00642CA5" w:rsidRDefault="00936160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AT&amp;T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912A0F" w:rsidRPr="00642CA5" w:rsidRDefault="00936160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U-Verse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912A0F" w:rsidRPr="00642CA5" w:rsidRDefault="00936160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USD 59,00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912A0F" w:rsidRPr="00642CA5" w:rsidRDefault="00936160" w:rsidP="005E6C84">
            <w:pPr>
              <w:pStyle w:val="TableText"/>
              <w:keepNext w:val="0"/>
              <w:rPr>
                <w:rStyle w:val="AnswerGray"/>
              </w:rPr>
            </w:pPr>
            <w:r w:rsidRPr="00642CA5">
              <w:rPr>
                <w:rStyle w:val="AnswerGray"/>
              </w:rPr>
              <w:t>3 Mbps</w:t>
            </w:r>
          </w:p>
        </w:tc>
      </w:tr>
    </w:tbl>
    <w:p w:rsidR="00404BF3" w:rsidRPr="00642CA5" w:rsidRDefault="00404BF3" w:rsidP="005E6C84">
      <w:pPr>
        <w:pStyle w:val="PartHead"/>
        <w:rPr>
          <w:rStyle w:val="AnswerGray"/>
          <w:sz w:val="28"/>
          <w:shd w:val="clear" w:color="auto" w:fill="auto"/>
        </w:rPr>
      </w:pPr>
      <w:r w:rsidRPr="00642CA5">
        <w:rPr>
          <w:rStyle w:val="AnswerGray"/>
          <w:sz w:val="28"/>
          <w:shd w:val="clear" w:color="auto" w:fill="auto"/>
        </w:rPr>
        <w:lastRenderedPageBreak/>
        <w:t>Seleccionar la mejor oferta de servicio convergente de un ISP local</w:t>
      </w:r>
    </w:p>
    <w:p w:rsidR="0096410E" w:rsidRPr="00642CA5" w:rsidRDefault="0096410E" w:rsidP="004D267A">
      <w:pPr>
        <w:pStyle w:val="BodyTextL25"/>
      </w:pPr>
      <w:r w:rsidRPr="00642CA5">
        <w:t>Elija la mejor opción de la lista de ISP locales seleccionados e indique los motivos por los cuales elige esa opción en particular.</w:t>
      </w:r>
    </w:p>
    <w:p w:rsidR="00C23B05" w:rsidRPr="00642CA5" w:rsidRDefault="00C23B05" w:rsidP="004D267A">
      <w:pPr>
        <w:pStyle w:val="BodyTextL25"/>
      </w:pPr>
      <w:r w:rsidRPr="00642CA5">
        <w:t>_______________________________________________________________________________________</w:t>
      </w:r>
    </w:p>
    <w:p w:rsidR="00C23B05" w:rsidRPr="00642CA5" w:rsidRDefault="007807EF" w:rsidP="004D267A">
      <w:pPr>
        <w:pStyle w:val="BodyTextL25"/>
      </w:pPr>
      <w:r w:rsidRPr="00642CA5">
        <w:t>_______________________________________________________________________________________</w:t>
      </w:r>
    </w:p>
    <w:p w:rsidR="00A2729D" w:rsidRPr="00642CA5" w:rsidRDefault="00C23B05" w:rsidP="004D267A">
      <w:pPr>
        <w:pStyle w:val="BodyTextL25"/>
      </w:pPr>
      <w:r w:rsidRPr="00642CA5">
        <w:t>_______________________________________________________________________________________</w:t>
      </w:r>
    </w:p>
    <w:p w:rsidR="00643C1B" w:rsidRPr="00642CA5" w:rsidRDefault="00643C1B" w:rsidP="00643C1B">
      <w:pPr>
        <w:pStyle w:val="BodyTextL25"/>
      </w:pPr>
      <w:r w:rsidRPr="00642CA5">
        <w:t>_______________________________________________________________________________________</w:t>
      </w:r>
    </w:p>
    <w:p w:rsidR="00643C1B" w:rsidRPr="00642CA5" w:rsidRDefault="00643C1B" w:rsidP="00643C1B">
      <w:pPr>
        <w:pStyle w:val="BodyTextL25"/>
      </w:pPr>
      <w:r w:rsidRPr="00642CA5">
        <w:t>_______________________________________________________________________________________</w:t>
      </w:r>
    </w:p>
    <w:p w:rsidR="00643C1B" w:rsidRPr="00642CA5" w:rsidRDefault="00643C1B" w:rsidP="00643C1B">
      <w:pPr>
        <w:pStyle w:val="BodyTextL25"/>
      </w:pPr>
      <w:r w:rsidRPr="00642CA5">
        <w:t>_______________________________________________________________________________________</w:t>
      </w:r>
    </w:p>
    <w:p w:rsidR="0096410E" w:rsidRPr="00642CA5" w:rsidRDefault="000375EF" w:rsidP="004D267A">
      <w:pPr>
        <w:pStyle w:val="BodyTextL25"/>
      </w:pPr>
      <w:r w:rsidRPr="00642CA5">
        <w:rPr>
          <w:rStyle w:val="AnswerGray"/>
        </w:rPr>
        <w:t>Las respuestas varían y comúnmente se basan en el precio por mes y la prioridad relativa de las velocidades de Internet en comparación con la cantidad de canales de TV que se ofrecen en los paquetes básicos.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>El estudiante puede seleccionar Comcast debido a las mayores velocidades de descarga para Internet.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>Remarque a los estudiantes que las prioridades de los usuarios domésticos pueden afectar su elección de servicio.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>Por ejemplo, los usuarios que realizan exclusivamente transmisiones de películas pueden preferir mayores velocidades de descarga, en comparación con un usuario que más que nada navega por Internet y revisa el correo electrónico de forma ocasional.</w:t>
      </w:r>
    </w:p>
    <w:p w:rsidR="001A0196" w:rsidRPr="00642CA5" w:rsidRDefault="009B31BF" w:rsidP="005E6C84">
      <w:pPr>
        <w:pStyle w:val="PartHead"/>
      </w:pPr>
      <w:r w:rsidRPr="00642CA5">
        <w:t xml:space="preserve">Investigar </w:t>
      </w:r>
      <w:r w:rsidR="00DD3FC8">
        <w:t>empresa</w:t>
      </w:r>
      <w:r w:rsidRPr="00642CA5">
        <w:t>s o instituciones públicas locales que utilicen tecnologías de convergencia</w:t>
      </w:r>
    </w:p>
    <w:p w:rsidR="009B31BF" w:rsidRPr="00642CA5" w:rsidRDefault="009B31BF" w:rsidP="004D267A">
      <w:pPr>
        <w:pStyle w:val="BodyTextL25"/>
      </w:pPr>
      <w:r w:rsidRPr="00642CA5">
        <w:t xml:space="preserve">En la parte 5, investigará y localizará una </w:t>
      </w:r>
      <w:r w:rsidR="00DD3FC8">
        <w:t>empresa</w:t>
      </w:r>
      <w:r w:rsidRPr="00642CA5">
        <w:t xml:space="preserve"> en su área que actualmente utilice tecnologías de convergencia en sus negocios.</w:t>
      </w:r>
    </w:p>
    <w:p w:rsidR="00112AC5" w:rsidRPr="00642CA5" w:rsidRDefault="009B31BF" w:rsidP="005E6C84">
      <w:pPr>
        <w:pStyle w:val="StepHead"/>
      </w:pPr>
      <w:r w:rsidRPr="00642CA5">
        <w:t xml:space="preserve">Investigue y busque una </w:t>
      </w:r>
      <w:r w:rsidR="00DD3FC8">
        <w:t>empresa</w:t>
      </w:r>
      <w:r w:rsidRPr="00642CA5">
        <w:t xml:space="preserve"> local que utilice la convergencia.</w:t>
      </w:r>
    </w:p>
    <w:p w:rsidR="009B31BF" w:rsidRPr="00642CA5" w:rsidRDefault="000025A1" w:rsidP="004D267A">
      <w:pPr>
        <w:pStyle w:val="BodyTextL25"/>
      </w:pPr>
      <w:r w:rsidRPr="00642CA5">
        <w:t xml:space="preserve">En la tabla siguiente, indique la </w:t>
      </w:r>
      <w:r w:rsidR="00DD3FC8">
        <w:t>empresa</w:t>
      </w:r>
      <w:r w:rsidRPr="00642CA5">
        <w:t>, el sector y las tecnologías de convergencia utilizadas.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8B4286" w:rsidRPr="00642CA5" w:rsidTr="001D4BBB">
        <w:trPr>
          <w:cantSplit/>
          <w:jc w:val="center"/>
        </w:trPr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Pr="00642CA5" w:rsidRDefault="008D02CB" w:rsidP="00BD73F2">
            <w:pPr>
              <w:pStyle w:val="TableHeading"/>
            </w:pPr>
            <w:r w:rsidRPr="00642CA5">
              <w:t xml:space="preserve">Nombre de la </w:t>
            </w:r>
            <w:r w:rsidR="00DD3FC8">
              <w:t>empresa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Pr="00642CA5" w:rsidRDefault="008D02CB" w:rsidP="00BD73F2">
            <w:pPr>
              <w:pStyle w:val="TableHeading"/>
            </w:pPr>
            <w:r w:rsidRPr="00642CA5">
              <w:t>Sector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Pr="00642CA5" w:rsidRDefault="008D02CB" w:rsidP="00BD73F2">
            <w:pPr>
              <w:pStyle w:val="TableHeading"/>
            </w:pPr>
            <w:r w:rsidRPr="00642CA5">
              <w:t>Tecnologías de convergencia</w:t>
            </w:r>
          </w:p>
        </w:tc>
      </w:tr>
      <w:tr w:rsidR="00F63855" w:rsidRPr="00642CA5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642CA5" w:rsidRDefault="008B4286" w:rsidP="00BD73F2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Cisco Systems, Inc.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642CA5" w:rsidRDefault="008B4286" w:rsidP="00BD73F2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Tecnología de la información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642CA5" w:rsidRDefault="00F87F0F" w:rsidP="00BD73F2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 xml:space="preserve">Telefonía, </w:t>
            </w:r>
            <w:r w:rsidR="00CF253E">
              <w:rPr>
                <w:rStyle w:val="AnswerGray"/>
              </w:rPr>
              <w:t>vídeo</w:t>
            </w:r>
            <w:r w:rsidRPr="00642CA5">
              <w:rPr>
                <w:rStyle w:val="AnswerGray"/>
              </w:rPr>
              <w:t>, datos</w:t>
            </w:r>
          </w:p>
        </w:tc>
      </w:tr>
      <w:tr w:rsidR="00F63855" w:rsidRPr="00642CA5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642CA5" w:rsidRDefault="00F63855" w:rsidP="00BD73F2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Woodward, Inc.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642CA5" w:rsidRDefault="00F63855" w:rsidP="00BD73F2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>Aeroespacial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642CA5" w:rsidRDefault="00F63855" w:rsidP="00BD73F2">
            <w:pPr>
              <w:pStyle w:val="TableText"/>
              <w:rPr>
                <w:rStyle w:val="AnswerGray"/>
              </w:rPr>
            </w:pPr>
            <w:r w:rsidRPr="00642CA5">
              <w:rPr>
                <w:rStyle w:val="AnswerGray"/>
              </w:rPr>
              <w:t xml:space="preserve">Telefonía, </w:t>
            </w:r>
            <w:r w:rsidR="00CF253E">
              <w:rPr>
                <w:rStyle w:val="AnswerGray"/>
              </w:rPr>
              <w:t>vídeo</w:t>
            </w:r>
            <w:r w:rsidRPr="00642CA5">
              <w:rPr>
                <w:rStyle w:val="AnswerGray"/>
              </w:rPr>
              <w:t>, datos</w:t>
            </w:r>
          </w:p>
        </w:tc>
      </w:tr>
    </w:tbl>
    <w:p w:rsidR="009B31BF" w:rsidRPr="00642CA5" w:rsidRDefault="00FE5D3F" w:rsidP="005E6C84">
      <w:pPr>
        <w:pStyle w:val="PartHead"/>
      </w:pPr>
      <w:r w:rsidRPr="00642CA5">
        <w:t>Reflexión</w:t>
      </w:r>
    </w:p>
    <w:p w:rsidR="006E3D5A" w:rsidRPr="00642CA5" w:rsidRDefault="006F369B" w:rsidP="004D267A">
      <w:pPr>
        <w:pStyle w:val="ReflectionQ"/>
      </w:pPr>
      <w:r w:rsidRPr="00642CA5">
        <w:t>Indique al menos dos ventajas de utilizar tecnologías de convergencia.</w:t>
      </w:r>
    </w:p>
    <w:p w:rsidR="00A2729D" w:rsidRPr="00642CA5" w:rsidRDefault="00A2729D" w:rsidP="004D267A">
      <w:pPr>
        <w:pStyle w:val="BodyTextL25"/>
      </w:pPr>
      <w:r w:rsidRPr="00642CA5">
        <w:t>_______________________________________________________________________________________</w:t>
      </w:r>
    </w:p>
    <w:p w:rsidR="00C7716B" w:rsidRPr="00642CA5" w:rsidRDefault="00A2729D" w:rsidP="004D267A">
      <w:pPr>
        <w:pStyle w:val="BodyTextL25"/>
      </w:pPr>
      <w:r w:rsidRPr="00642CA5">
        <w:t>_______________________________________________________________________________________</w:t>
      </w:r>
    </w:p>
    <w:p w:rsidR="00C7716B" w:rsidRPr="00642CA5" w:rsidRDefault="00C7716B" w:rsidP="004D267A">
      <w:pPr>
        <w:pStyle w:val="BodyTextL25"/>
      </w:pPr>
      <w:r w:rsidRPr="00642CA5">
        <w:t>_______________________________________________________________________________________</w:t>
      </w:r>
    </w:p>
    <w:p w:rsidR="006E3D5A" w:rsidRPr="00642CA5" w:rsidRDefault="00DC48B8" w:rsidP="004D267A">
      <w:pPr>
        <w:pStyle w:val="BodyTextL25"/>
        <w:rPr>
          <w:rStyle w:val="AnswerGray"/>
        </w:rPr>
      </w:pPr>
      <w:r w:rsidRPr="00642CA5">
        <w:rPr>
          <w:rStyle w:val="AnswerGray"/>
        </w:rPr>
        <w:t xml:space="preserve">Combinar voz, </w:t>
      </w:r>
      <w:r w:rsidR="00CF253E">
        <w:rPr>
          <w:rStyle w:val="AnswerGray"/>
        </w:rPr>
        <w:t>vídeo</w:t>
      </w:r>
      <w:r w:rsidRPr="00642CA5">
        <w:rPr>
          <w:rStyle w:val="AnswerGray"/>
        </w:rPr>
        <w:t xml:space="preserve"> y señales de datos en una infraestructura de comunicación permite que las </w:t>
      </w:r>
      <w:r w:rsidR="00DD3FC8">
        <w:rPr>
          <w:rStyle w:val="AnswerGray"/>
        </w:rPr>
        <w:t>empresa</w:t>
      </w:r>
      <w:r w:rsidRPr="00642CA5">
        <w:rPr>
          <w:rStyle w:val="AnswerGray"/>
        </w:rPr>
        <w:t>s administren mejor la tecnología, dado que la red utiliza un conjunto común de reglas y estándares.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>Ya no es necesario un equipo de distribución separado para ofrecer voz y datos.</w:t>
      </w:r>
    </w:p>
    <w:p w:rsidR="00077489" w:rsidRPr="00642CA5" w:rsidRDefault="00676F5A" w:rsidP="005E6C84">
      <w:pPr>
        <w:pStyle w:val="ReflectionQ"/>
        <w:pageBreakBefore/>
      </w:pPr>
      <w:r w:rsidRPr="00642CA5">
        <w:lastRenderedPageBreak/>
        <w:t>Indique al menos dos desventajas de utilizar tecnologías de convergencia.</w:t>
      </w:r>
    </w:p>
    <w:p w:rsidR="00A2729D" w:rsidRPr="00642CA5" w:rsidRDefault="00A2729D" w:rsidP="004D267A">
      <w:pPr>
        <w:pStyle w:val="BodyTextL25"/>
      </w:pPr>
      <w:r w:rsidRPr="00642CA5">
        <w:t>_______________________________________________________________________________________</w:t>
      </w:r>
    </w:p>
    <w:p w:rsidR="00A2729D" w:rsidRPr="00642CA5" w:rsidRDefault="00A2729D" w:rsidP="004D267A">
      <w:pPr>
        <w:pStyle w:val="BodyTextL25"/>
      </w:pPr>
      <w:r w:rsidRPr="00642CA5">
        <w:t>_______________________________________________________________________________________</w:t>
      </w:r>
    </w:p>
    <w:p w:rsidR="00C7716B" w:rsidRPr="00642CA5" w:rsidRDefault="00C7716B" w:rsidP="004D267A">
      <w:pPr>
        <w:pStyle w:val="BodyTextL25"/>
      </w:pPr>
      <w:r w:rsidRPr="00642CA5">
        <w:t>_______________________________________________________________________________________</w:t>
      </w:r>
    </w:p>
    <w:p w:rsidR="00077489" w:rsidRPr="00642CA5" w:rsidRDefault="00077489" w:rsidP="004D267A">
      <w:pPr>
        <w:pStyle w:val="BodyTextL25"/>
        <w:rPr>
          <w:rStyle w:val="AnswerGray"/>
        </w:rPr>
      </w:pPr>
      <w:r w:rsidRPr="00642CA5">
        <w:rPr>
          <w:rStyle w:val="AnswerGray"/>
        </w:rPr>
        <w:t xml:space="preserve">Hasta que las tecnologías alcancen una madurez completa, la configuración y la administración de voz, </w:t>
      </w:r>
      <w:r w:rsidR="00CF253E">
        <w:rPr>
          <w:rStyle w:val="AnswerGray"/>
        </w:rPr>
        <w:t>vídeo</w:t>
      </w:r>
      <w:r w:rsidRPr="00642CA5">
        <w:rPr>
          <w:rStyle w:val="AnswerGray"/>
        </w:rPr>
        <w:t xml:space="preserve"> y datos que fluyen en un mismo canal pueden presentar un desafío.</w:t>
      </w:r>
      <w:r w:rsidR="002064EA">
        <w:rPr>
          <w:rStyle w:val="AnswerGray"/>
        </w:rPr>
        <w:t xml:space="preserve"> </w:t>
      </w:r>
      <w:r w:rsidRPr="00642CA5">
        <w:rPr>
          <w:rStyle w:val="AnswerGray"/>
        </w:rPr>
        <w:t xml:space="preserve">Dar prioridad a la voz sobre los datos por medio de tecnologías de calidad de servicio (QoS) puede resultar bastante complejo para las </w:t>
      </w:r>
      <w:r w:rsidR="00DD3FC8">
        <w:rPr>
          <w:rStyle w:val="AnswerGray"/>
        </w:rPr>
        <w:t>empresa</w:t>
      </w:r>
      <w:r w:rsidRPr="00642CA5">
        <w:rPr>
          <w:rStyle w:val="AnswerGray"/>
        </w:rPr>
        <w:t>s que no cuentan con personal capacitado en TI.</w:t>
      </w:r>
    </w:p>
    <w:sectPr w:rsidR="00077489" w:rsidRPr="00642CA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1A8" w:rsidRDefault="009001A8" w:rsidP="0090659A">
      <w:pPr>
        <w:spacing w:after="0" w:line="240" w:lineRule="auto"/>
      </w:pPr>
      <w:r>
        <w:separator/>
      </w:r>
    </w:p>
    <w:p w:rsidR="009001A8" w:rsidRDefault="009001A8"/>
    <w:p w:rsidR="009001A8" w:rsidRDefault="009001A8"/>
    <w:p w:rsidR="009001A8" w:rsidRDefault="009001A8"/>
    <w:p w:rsidR="009001A8" w:rsidRDefault="009001A8"/>
  </w:endnote>
  <w:endnote w:type="continuationSeparator" w:id="0">
    <w:p w:rsidR="009001A8" w:rsidRDefault="009001A8" w:rsidP="0090659A">
      <w:pPr>
        <w:spacing w:after="0" w:line="240" w:lineRule="auto"/>
      </w:pPr>
      <w:r>
        <w:continuationSeparator/>
      </w:r>
    </w:p>
    <w:p w:rsidR="009001A8" w:rsidRDefault="009001A8"/>
    <w:p w:rsidR="009001A8" w:rsidRDefault="009001A8"/>
    <w:p w:rsidR="009001A8" w:rsidRDefault="009001A8"/>
    <w:p w:rsidR="009001A8" w:rsidRDefault="00900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B54AD">
      <w:fldChar w:fldCharType="begin"/>
    </w:r>
    <w:r w:rsidR="00BF7DD3">
      <w:instrText xml:space="preserve"> DATE  \@ "yyyy"  \* MERGEFORMAT </w:instrText>
    </w:r>
    <w:r w:rsidR="00FB54AD">
      <w:fldChar w:fldCharType="separate"/>
    </w:r>
    <w:r w:rsidR="00DD3FC8">
      <w:rPr>
        <w:noProof/>
      </w:rPr>
      <w:t>2016</w:t>
    </w:r>
    <w:r w:rsidR="00FB54AD">
      <w:fldChar w:fldCharType="end"/>
    </w:r>
    <w:r>
      <w:t xml:space="preserve"> Cisco y/o sus filiales.</w:t>
    </w:r>
    <w:r w:rsidR="00C771E8">
      <w:t xml:space="preserve"> </w:t>
    </w:r>
    <w:r>
      <w:t>Todos los derechos reservados.</w:t>
    </w:r>
    <w:r w:rsidR="00C771E8">
      <w:t xml:space="preserve"> </w:t>
    </w:r>
    <w:r>
      <w:t>Este documento es información pública de Cisco.</w:t>
    </w:r>
    <w:r w:rsidR="00605AB1">
      <w:tab/>
    </w:r>
    <w:r>
      <w:t xml:space="preserve">Página </w:t>
    </w:r>
    <w:r w:rsidR="00FB54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B54AD" w:rsidRPr="0090659A">
      <w:rPr>
        <w:b/>
        <w:szCs w:val="16"/>
      </w:rPr>
      <w:fldChar w:fldCharType="separate"/>
    </w:r>
    <w:r w:rsidR="00DD3FC8">
      <w:rPr>
        <w:b/>
        <w:noProof/>
        <w:szCs w:val="16"/>
      </w:rPr>
      <w:t>2</w:t>
    </w:r>
    <w:r w:rsidR="00FB54AD" w:rsidRPr="0090659A">
      <w:rPr>
        <w:b/>
        <w:szCs w:val="16"/>
      </w:rPr>
      <w:fldChar w:fldCharType="end"/>
    </w:r>
    <w:r>
      <w:t xml:space="preserve"> de</w:t>
    </w:r>
    <w:r w:rsidR="00605AB1">
      <w:t xml:space="preserve"> </w:t>
    </w:r>
    <w:r w:rsidR="00FB54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B54AD" w:rsidRPr="0090659A">
      <w:rPr>
        <w:b/>
        <w:szCs w:val="16"/>
      </w:rPr>
      <w:fldChar w:fldCharType="separate"/>
    </w:r>
    <w:r w:rsidR="00DD3FC8">
      <w:rPr>
        <w:b/>
        <w:noProof/>
        <w:szCs w:val="16"/>
      </w:rPr>
      <w:t>4</w:t>
    </w:r>
    <w:r w:rsidR="00FB54A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B54AD">
      <w:fldChar w:fldCharType="begin"/>
    </w:r>
    <w:r w:rsidR="00BF7DD3">
      <w:instrText xml:space="preserve"> DATE  \@ "yyyy"  \* MERGEFORMAT </w:instrText>
    </w:r>
    <w:r w:rsidR="00FB54AD">
      <w:fldChar w:fldCharType="separate"/>
    </w:r>
    <w:r w:rsidR="00DD3FC8">
      <w:rPr>
        <w:noProof/>
      </w:rPr>
      <w:t>2016</w:t>
    </w:r>
    <w:r w:rsidR="00FB54AD">
      <w:fldChar w:fldCharType="end"/>
    </w:r>
    <w:r>
      <w:t xml:space="preserve"> Cisco y/o sus filiales.</w:t>
    </w:r>
    <w:r w:rsidR="00C771E8">
      <w:t xml:space="preserve"> </w:t>
    </w:r>
    <w:r>
      <w:t>Todos los derechos reservados.</w:t>
    </w:r>
    <w:r w:rsidR="00C771E8">
      <w:t xml:space="preserve"> </w:t>
    </w:r>
    <w:r>
      <w:t>Este documento es información pública de Cisco.</w:t>
    </w:r>
    <w:r w:rsidR="00605AB1">
      <w:tab/>
    </w:r>
    <w:r>
      <w:t xml:space="preserve">Página </w:t>
    </w:r>
    <w:r w:rsidR="00FB54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B54AD" w:rsidRPr="0090659A">
      <w:rPr>
        <w:b/>
        <w:szCs w:val="16"/>
      </w:rPr>
      <w:fldChar w:fldCharType="separate"/>
    </w:r>
    <w:r w:rsidR="00DD3FC8">
      <w:rPr>
        <w:b/>
        <w:noProof/>
        <w:szCs w:val="16"/>
      </w:rPr>
      <w:t>1</w:t>
    </w:r>
    <w:r w:rsidR="00FB54AD" w:rsidRPr="0090659A">
      <w:rPr>
        <w:b/>
        <w:szCs w:val="16"/>
      </w:rPr>
      <w:fldChar w:fldCharType="end"/>
    </w:r>
    <w:r>
      <w:t xml:space="preserve"> de</w:t>
    </w:r>
    <w:r w:rsidR="00605AB1">
      <w:t xml:space="preserve"> </w:t>
    </w:r>
    <w:r w:rsidR="00FB54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B54AD" w:rsidRPr="0090659A">
      <w:rPr>
        <w:b/>
        <w:szCs w:val="16"/>
      </w:rPr>
      <w:fldChar w:fldCharType="separate"/>
    </w:r>
    <w:r w:rsidR="00DD3FC8">
      <w:rPr>
        <w:b/>
        <w:noProof/>
        <w:szCs w:val="16"/>
      </w:rPr>
      <w:t>4</w:t>
    </w:r>
    <w:r w:rsidR="00FB54A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1A8" w:rsidRDefault="009001A8" w:rsidP="0090659A">
      <w:pPr>
        <w:spacing w:after="0" w:line="240" w:lineRule="auto"/>
      </w:pPr>
      <w:r>
        <w:separator/>
      </w:r>
    </w:p>
    <w:p w:rsidR="009001A8" w:rsidRDefault="009001A8"/>
    <w:p w:rsidR="009001A8" w:rsidRDefault="009001A8"/>
    <w:p w:rsidR="009001A8" w:rsidRDefault="009001A8"/>
    <w:p w:rsidR="009001A8" w:rsidRDefault="009001A8"/>
  </w:footnote>
  <w:footnote w:type="continuationSeparator" w:id="0">
    <w:p w:rsidR="009001A8" w:rsidRDefault="009001A8" w:rsidP="0090659A">
      <w:pPr>
        <w:spacing w:after="0" w:line="240" w:lineRule="auto"/>
      </w:pPr>
      <w:r>
        <w:continuationSeparator/>
      </w:r>
    </w:p>
    <w:p w:rsidR="009001A8" w:rsidRDefault="009001A8"/>
    <w:p w:rsidR="009001A8" w:rsidRDefault="009001A8"/>
    <w:p w:rsidR="009001A8" w:rsidRDefault="009001A8"/>
    <w:p w:rsidR="009001A8" w:rsidRDefault="009001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2D555D" w:rsidP="00C52BA6">
    <w:pPr>
      <w:pStyle w:val="PageHead"/>
    </w:pPr>
    <w:r>
      <w:t>Práctica de laboratorio: Investigación de servicios de redes convergentes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7D5C8B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96360"/>
    <w:multiLevelType w:val="multilevel"/>
    <w:tmpl w:val="EE527C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29816D07"/>
    <w:multiLevelType w:val="multilevel"/>
    <w:tmpl w:val="D24E836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4D32266"/>
    <w:multiLevelType w:val="multilevel"/>
    <w:tmpl w:val="912E3A3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</w:rPr>
      </w:lvl>
    </w:lvlOverride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0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MxNjUzNzUwMDGwtLRQ0lEKTi0uzszPAykwrAUA6uUKwywAAAA="/>
  </w:docVars>
  <w:rsids>
    <w:rsidRoot w:val="004A5BC5"/>
    <w:rsid w:val="000025A1"/>
    <w:rsid w:val="00004175"/>
    <w:rsid w:val="000059C9"/>
    <w:rsid w:val="00007B93"/>
    <w:rsid w:val="000160F7"/>
    <w:rsid w:val="00016D1A"/>
    <w:rsid w:val="00016F30"/>
    <w:rsid w:val="0002047C"/>
    <w:rsid w:val="00020F47"/>
    <w:rsid w:val="00021B9A"/>
    <w:rsid w:val="00022773"/>
    <w:rsid w:val="000242D6"/>
    <w:rsid w:val="00033E57"/>
    <w:rsid w:val="000375EF"/>
    <w:rsid w:val="00041AF6"/>
    <w:rsid w:val="00044E62"/>
    <w:rsid w:val="00051738"/>
    <w:rsid w:val="00052548"/>
    <w:rsid w:val="00060696"/>
    <w:rsid w:val="000750E0"/>
    <w:rsid w:val="000756F5"/>
    <w:rsid w:val="000769CF"/>
    <w:rsid w:val="00077489"/>
    <w:rsid w:val="000815D8"/>
    <w:rsid w:val="000852E0"/>
    <w:rsid w:val="00085CC6"/>
    <w:rsid w:val="00091E8D"/>
    <w:rsid w:val="0009378D"/>
    <w:rsid w:val="00097163"/>
    <w:rsid w:val="000A22C8"/>
    <w:rsid w:val="000B2344"/>
    <w:rsid w:val="000B3B12"/>
    <w:rsid w:val="000B7DE5"/>
    <w:rsid w:val="000E5BD5"/>
    <w:rsid w:val="000E65F0"/>
    <w:rsid w:val="000F072C"/>
    <w:rsid w:val="000F54A6"/>
    <w:rsid w:val="000F5665"/>
    <w:rsid w:val="000F6743"/>
    <w:rsid w:val="00107B2B"/>
    <w:rsid w:val="0011030A"/>
    <w:rsid w:val="00112AC5"/>
    <w:rsid w:val="001133DD"/>
    <w:rsid w:val="00120CBE"/>
    <w:rsid w:val="00127794"/>
    <w:rsid w:val="001366EC"/>
    <w:rsid w:val="00154E3A"/>
    <w:rsid w:val="00163164"/>
    <w:rsid w:val="001710C0"/>
    <w:rsid w:val="00172AFB"/>
    <w:rsid w:val="001742A7"/>
    <w:rsid w:val="00180FBF"/>
    <w:rsid w:val="00182CF4"/>
    <w:rsid w:val="00182F9F"/>
    <w:rsid w:val="00186CE1"/>
    <w:rsid w:val="00192F12"/>
    <w:rsid w:val="00193F14"/>
    <w:rsid w:val="00197614"/>
    <w:rsid w:val="00197738"/>
    <w:rsid w:val="001A0196"/>
    <w:rsid w:val="001A0312"/>
    <w:rsid w:val="001A2694"/>
    <w:rsid w:val="001A3CC7"/>
    <w:rsid w:val="001A69AC"/>
    <w:rsid w:val="001B67D8"/>
    <w:rsid w:val="001B6F95"/>
    <w:rsid w:val="001C1D9E"/>
    <w:rsid w:val="001C599E"/>
    <w:rsid w:val="001C7C3B"/>
    <w:rsid w:val="001D4BBB"/>
    <w:rsid w:val="001D5B6F"/>
    <w:rsid w:val="001E0AB8"/>
    <w:rsid w:val="001E38E0"/>
    <w:rsid w:val="001E4E72"/>
    <w:rsid w:val="001E62B3"/>
    <w:rsid w:val="001F0171"/>
    <w:rsid w:val="001F0D77"/>
    <w:rsid w:val="00201928"/>
    <w:rsid w:val="00203E26"/>
    <w:rsid w:val="0020449C"/>
    <w:rsid w:val="002064EA"/>
    <w:rsid w:val="002113B8"/>
    <w:rsid w:val="0021792C"/>
    <w:rsid w:val="002240AB"/>
    <w:rsid w:val="00225E37"/>
    <w:rsid w:val="002373E1"/>
    <w:rsid w:val="00237443"/>
    <w:rsid w:val="00242E3A"/>
    <w:rsid w:val="0025107F"/>
    <w:rsid w:val="00260CD4"/>
    <w:rsid w:val="002639D8"/>
    <w:rsid w:val="00265F77"/>
    <w:rsid w:val="00266C83"/>
    <w:rsid w:val="002768DC"/>
    <w:rsid w:val="002A6C56"/>
    <w:rsid w:val="002B2918"/>
    <w:rsid w:val="002C090C"/>
    <w:rsid w:val="002C1243"/>
    <w:rsid w:val="002C1815"/>
    <w:rsid w:val="002C6AD6"/>
    <w:rsid w:val="002D555D"/>
    <w:rsid w:val="002D6C2A"/>
    <w:rsid w:val="002F45FF"/>
    <w:rsid w:val="002F6D17"/>
    <w:rsid w:val="00302887"/>
    <w:rsid w:val="00304C8A"/>
    <w:rsid w:val="003056EB"/>
    <w:rsid w:val="003071FF"/>
    <w:rsid w:val="00310652"/>
    <w:rsid w:val="0031371D"/>
    <w:rsid w:val="0031789F"/>
    <w:rsid w:val="00320788"/>
    <w:rsid w:val="00322CF1"/>
    <w:rsid w:val="003233A3"/>
    <w:rsid w:val="003403B0"/>
    <w:rsid w:val="0034455D"/>
    <w:rsid w:val="00346D17"/>
    <w:rsid w:val="00347972"/>
    <w:rsid w:val="003559CC"/>
    <w:rsid w:val="003569D7"/>
    <w:rsid w:val="003608AC"/>
    <w:rsid w:val="0036465A"/>
    <w:rsid w:val="00367176"/>
    <w:rsid w:val="00381E88"/>
    <w:rsid w:val="00392B9A"/>
    <w:rsid w:val="00392C65"/>
    <w:rsid w:val="003943B0"/>
    <w:rsid w:val="003A19DC"/>
    <w:rsid w:val="003A1B45"/>
    <w:rsid w:val="003B46FC"/>
    <w:rsid w:val="003B5767"/>
    <w:rsid w:val="003B7605"/>
    <w:rsid w:val="003C6BCA"/>
    <w:rsid w:val="003C77CD"/>
    <w:rsid w:val="003C7902"/>
    <w:rsid w:val="003D0BFF"/>
    <w:rsid w:val="003D3A04"/>
    <w:rsid w:val="003E56FF"/>
    <w:rsid w:val="003E5BE5"/>
    <w:rsid w:val="003F06F9"/>
    <w:rsid w:val="003F429B"/>
    <w:rsid w:val="003F4F0E"/>
    <w:rsid w:val="003F6E06"/>
    <w:rsid w:val="00403C7A"/>
    <w:rsid w:val="00404BF3"/>
    <w:rsid w:val="004057A6"/>
    <w:rsid w:val="00406554"/>
    <w:rsid w:val="00416C42"/>
    <w:rsid w:val="00422476"/>
    <w:rsid w:val="0042385C"/>
    <w:rsid w:val="00431654"/>
    <w:rsid w:val="004322C7"/>
    <w:rsid w:val="00434926"/>
    <w:rsid w:val="004478F4"/>
    <w:rsid w:val="00450176"/>
    <w:rsid w:val="00452573"/>
    <w:rsid w:val="00452C6D"/>
    <w:rsid w:val="00455E0B"/>
    <w:rsid w:val="004659EE"/>
    <w:rsid w:val="00470F4A"/>
    <w:rsid w:val="00490C75"/>
    <w:rsid w:val="004920D0"/>
    <w:rsid w:val="004936C2"/>
    <w:rsid w:val="0049379C"/>
    <w:rsid w:val="004A137E"/>
    <w:rsid w:val="004A1CA0"/>
    <w:rsid w:val="004A22E9"/>
    <w:rsid w:val="004A39D6"/>
    <w:rsid w:val="004A5BC5"/>
    <w:rsid w:val="004B023D"/>
    <w:rsid w:val="004B2FD5"/>
    <w:rsid w:val="004C0909"/>
    <w:rsid w:val="004C3BEF"/>
    <w:rsid w:val="004C3F97"/>
    <w:rsid w:val="004D1E30"/>
    <w:rsid w:val="004D267A"/>
    <w:rsid w:val="004D3339"/>
    <w:rsid w:val="004D353F"/>
    <w:rsid w:val="004D36D7"/>
    <w:rsid w:val="004D682B"/>
    <w:rsid w:val="004E6152"/>
    <w:rsid w:val="004F344A"/>
    <w:rsid w:val="004F6EEA"/>
    <w:rsid w:val="005078D9"/>
    <w:rsid w:val="00512508"/>
    <w:rsid w:val="00516142"/>
    <w:rsid w:val="0052093C"/>
    <w:rsid w:val="00521B31"/>
    <w:rsid w:val="00522469"/>
    <w:rsid w:val="0052669B"/>
    <w:rsid w:val="00554B4E"/>
    <w:rsid w:val="00556C02"/>
    <w:rsid w:val="00563249"/>
    <w:rsid w:val="00566AB5"/>
    <w:rsid w:val="00570A65"/>
    <w:rsid w:val="005762B1"/>
    <w:rsid w:val="00580456"/>
    <w:rsid w:val="00580E73"/>
    <w:rsid w:val="005845C0"/>
    <w:rsid w:val="00593386"/>
    <w:rsid w:val="0059507C"/>
    <w:rsid w:val="005A0C38"/>
    <w:rsid w:val="005A6E62"/>
    <w:rsid w:val="005D2B29"/>
    <w:rsid w:val="005D354A"/>
    <w:rsid w:val="005E0D56"/>
    <w:rsid w:val="005E3235"/>
    <w:rsid w:val="005E4176"/>
    <w:rsid w:val="005E65B5"/>
    <w:rsid w:val="005E6C84"/>
    <w:rsid w:val="005E7541"/>
    <w:rsid w:val="005F1513"/>
    <w:rsid w:val="005F3AE9"/>
    <w:rsid w:val="006004B8"/>
    <w:rsid w:val="006007BB"/>
    <w:rsid w:val="00601DC0"/>
    <w:rsid w:val="006034CB"/>
    <w:rsid w:val="00605AB1"/>
    <w:rsid w:val="006131CE"/>
    <w:rsid w:val="00617D6E"/>
    <w:rsid w:val="006226CF"/>
    <w:rsid w:val="00624198"/>
    <w:rsid w:val="006340DC"/>
    <w:rsid w:val="006428E5"/>
    <w:rsid w:val="00642CA5"/>
    <w:rsid w:val="00643C1B"/>
    <w:rsid w:val="006461ED"/>
    <w:rsid w:val="00672919"/>
    <w:rsid w:val="00676F5A"/>
    <w:rsid w:val="00684B64"/>
    <w:rsid w:val="00686587"/>
    <w:rsid w:val="006867C2"/>
    <w:rsid w:val="006904CF"/>
    <w:rsid w:val="00695EE2"/>
    <w:rsid w:val="0069630E"/>
    <w:rsid w:val="006A2EAE"/>
    <w:rsid w:val="006A3FD4"/>
    <w:rsid w:val="006A48F1"/>
    <w:rsid w:val="006A71A3"/>
    <w:rsid w:val="006B03F2"/>
    <w:rsid w:val="006B1639"/>
    <w:rsid w:val="006B1E5F"/>
    <w:rsid w:val="006B5CA7"/>
    <w:rsid w:val="006B5E89"/>
    <w:rsid w:val="006C0839"/>
    <w:rsid w:val="006C19B2"/>
    <w:rsid w:val="006C30A0"/>
    <w:rsid w:val="006C35FF"/>
    <w:rsid w:val="006C37E2"/>
    <w:rsid w:val="006C57F2"/>
    <w:rsid w:val="006C5949"/>
    <w:rsid w:val="006D0D02"/>
    <w:rsid w:val="006D2C28"/>
    <w:rsid w:val="006D3FC1"/>
    <w:rsid w:val="006E3D5A"/>
    <w:rsid w:val="006E6581"/>
    <w:rsid w:val="006E71DF"/>
    <w:rsid w:val="006F0843"/>
    <w:rsid w:val="006F1CC4"/>
    <w:rsid w:val="006F2A86"/>
    <w:rsid w:val="006F3163"/>
    <w:rsid w:val="006F369B"/>
    <w:rsid w:val="00705FEC"/>
    <w:rsid w:val="0071147A"/>
    <w:rsid w:val="0071185D"/>
    <w:rsid w:val="007222AD"/>
    <w:rsid w:val="007267CF"/>
    <w:rsid w:val="00731F3F"/>
    <w:rsid w:val="0073477C"/>
    <w:rsid w:val="007436BF"/>
    <w:rsid w:val="007443E9"/>
    <w:rsid w:val="00745DCE"/>
    <w:rsid w:val="00753D89"/>
    <w:rsid w:val="00755C9B"/>
    <w:rsid w:val="00760FE4"/>
    <w:rsid w:val="007631CB"/>
    <w:rsid w:val="00763D8B"/>
    <w:rsid w:val="007657F6"/>
    <w:rsid w:val="0077125A"/>
    <w:rsid w:val="007807EF"/>
    <w:rsid w:val="0078143C"/>
    <w:rsid w:val="00786F58"/>
    <w:rsid w:val="00787CC1"/>
    <w:rsid w:val="00792F4E"/>
    <w:rsid w:val="0079398D"/>
    <w:rsid w:val="00796C25"/>
    <w:rsid w:val="007A3B2A"/>
    <w:rsid w:val="007A6E79"/>
    <w:rsid w:val="007B5522"/>
    <w:rsid w:val="007C0EE0"/>
    <w:rsid w:val="007C1B71"/>
    <w:rsid w:val="007C2FBB"/>
    <w:rsid w:val="007C7164"/>
    <w:rsid w:val="007D1984"/>
    <w:rsid w:val="007D2AFE"/>
    <w:rsid w:val="007D5C8B"/>
    <w:rsid w:val="007D66F3"/>
    <w:rsid w:val="007E1353"/>
    <w:rsid w:val="007E3FEA"/>
    <w:rsid w:val="007F0A0B"/>
    <w:rsid w:val="007F3A60"/>
    <w:rsid w:val="007F3D0B"/>
    <w:rsid w:val="007F610A"/>
    <w:rsid w:val="007F7C94"/>
    <w:rsid w:val="00810E4B"/>
    <w:rsid w:val="008115AB"/>
    <w:rsid w:val="0081390B"/>
    <w:rsid w:val="00814BAA"/>
    <w:rsid w:val="00824295"/>
    <w:rsid w:val="008313F3"/>
    <w:rsid w:val="00846494"/>
    <w:rsid w:val="00847B20"/>
    <w:rsid w:val="008509D3"/>
    <w:rsid w:val="00852BBE"/>
    <w:rsid w:val="00857599"/>
    <w:rsid w:val="00857CF6"/>
    <w:rsid w:val="00861A56"/>
    <w:rsid w:val="00861C6A"/>
    <w:rsid w:val="00883689"/>
    <w:rsid w:val="00890108"/>
    <w:rsid w:val="0089117E"/>
    <w:rsid w:val="00893877"/>
    <w:rsid w:val="0089532C"/>
    <w:rsid w:val="00896681"/>
    <w:rsid w:val="008A2749"/>
    <w:rsid w:val="008A3A90"/>
    <w:rsid w:val="008B06D4"/>
    <w:rsid w:val="008B4286"/>
    <w:rsid w:val="008B4F20"/>
    <w:rsid w:val="008B7FFD"/>
    <w:rsid w:val="008C2920"/>
    <w:rsid w:val="008C4307"/>
    <w:rsid w:val="008C5F00"/>
    <w:rsid w:val="008D02CB"/>
    <w:rsid w:val="008D16EF"/>
    <w:rsid w:val="008D23DF"/>
    <w:rsid w:val="008D49BA"/>
    <w:rsid w:val="008D73BF"/>
    <w:rsid w:val="008E2E90"/>
    <w:rsid w:val="008E5B64"/>
    <w:rsid w:val="008E7DAA"/>
    <w:rsid w:val="008F0094"/>
    <w:rsid w:val="008F340F"/>
    <w:rsid w:val="008F4D7F"/>
    <w:rsid w:val="009001A8"/>
    <w:rsid w:val="00903523"/>
    <w:rsid w:val="0090659A"/>
    <w:rsid w:val="00912A0F"/>
    <w:rsid w:val="00915986"/>
    <w:rsid w:val="00917624"/>
    <w:rsid w:val="009309F5"/>
    <w:rsid w:val="00933237"/>
    <w:rsid w:val="00933F28"/>
    <w:rsid w:val="00936160"/>
    <w:rsid w:val="00955D58"/>
    <w:rsid w:val="00963E34"/>
    <w:rsid w:val="0096410E"/>
    <w:rsid w:val="00964DFA"/>
    <w:rsid w:val="00971F51"/>
    <w:rsid w:val="0098155C"/>
    <w:rsid w:val="00983B77"/>
    <w:rsid w:val="00990795"/>
    <w:rsid w:val="00995BE8"/>
    <w:rsid w:val="009A0B2F"/>
    <w:rsid w:val="009A1CF4"/>
    <w:rsid w:val="009A37D7"/>
    <w:rsid w:val="009A4E17"/>
    <w:rsid w:val="009A6955"/>
    <w:rsid w:val="009B31BF"/>
    <w:rsid w:val="009B341C"/>
    <w:rsid w:val="009B5747"/>
    <w:rsid w:val="009C1AFB"/>
    <w:rsid w:val="009D06C4"/>
    <w:rsid w:val="009D2C27"/>
    <w:rsid w:val="009E2309"/>
    <w:rsid w:val="009E42B9"/>
    <w:rsid w:val="009F3FCE"/>
    <w:rsid w:val="00A014A3"/>
    <w:rsid w:val="00A0412D"/>
    <w:rsid w:val="00A06D3B"/>
    <w:rsid w:val="00A21211"/>
    <w:rsid w:val="00A2729D"/>
    <w:rsid w:val="00A34E7F"/>
    <w:rsid w:val="00A46F0A"/>
    <w:rsid w:val="00A46F25"/>
    <w:rsid w:val="00A47CC2"/>
    <w:rsid w:val="00A60146"/>
    <w:rsid w:val="00A604E2"/>
    <w:rsid w:val="00A607CB"/>
    <w:rsid w:val="00A622C4"/>
    <w:rsid w:val="00A71598"/>
    <w:rsid w:val="00A754B4"/>
    <w:rsid w:val="00A807C1"/>
    <w:rsid w:val="00A83374"/>
    <w:rsid w:val="00A920AC"/>
    <w:rsid w:val="00A93C09"/>
    <w:rsid w:val="00A96172"/>
    <w:rsid w:val="00AB0D6A"/>
    <w:rsid w:val="00AB43B3"/>
    <w:rsid w:val="00AB49B9"/>
    <w:rsid w:val="00AB758A"/>
    <w:rsid w:val="00AC087F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55EE"/>
    <w:rsid w:val="00B27499"/>
    <w:rsid w:val="00B3010D"/>
    <w:rsid w:val="00B35151"/>
    <w:rsid w:val="00B433F2"/>
    <w:rsid w:val="00B458E8"/>
    <w:rsid w:val="00B46AF7"/>
    <w:rsid w:val="00B5397B"/>
    <w:rsid w:val="00B561D9"/>
    <w:rsid w:val="00B62809"/>
    <w:rsid w:val="00B7675A"/>
    <w:rsid w:val="00B81898"/>
    <w:rsid w:val="00B85B59"/>
    <w:rsid w:val="00B878E7"/>
    <w:rsid w:val="00B97278"/>
    <w:rsid w:val="00B97801"/>
    <w:rsid w:val="00BA1D0B"/>
    <w:rsid w:val="00BA41EB"/>
    <w:rsid w:val="00BA5264"/>
    <w:rsid w:val="00BA6972"/>
    <w:rsid w:val="00BB165B"/>
    <w:rsid w:val="00BB1E0D"/>
    <w:rsid w:val="00BB4635"/>
    <w:rsid w:val="00BB4D9B"/>
    <w:rsid w:val="00BB73FF"/>
    <w:rsid w:val="00BB7688"/>
    <w:rsid w:val="00BC7CAC"/>
    <w:rsid w:val="00BD6D76"/>
    <w:rsid w:val="00BD73F2"/>
    <w:rsid w:val="00BE4F64"/>
    <w:rsid w:val="00BE56B3"/>
    <w:rsid w:val="00BF04E8"/>
    <w:rsid w:val="00BF16BF"/>
    <w:rsid w:val="00BF2919"/>
    <w:rsid w:val="00BF361C"/>
    <w:rsid w:val="00BF4D1F"/>
    <w:rsid w:val="00BF7DD3"/>
    <w:rsid w:val="00C02A73"/>
    <w:rsid w:val="00C063D2"/>
    <w:rsid w:val="00C07FD9"/>
    <w:rsid w:val="00C10955"/>
    <w:rsid w:val="00C11C4D"/>
    <w:rsid w:val="00C1712C"/>
    <w:rsid w:val="00C23B0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7716B"/>
    <w:rsid w:val="00C771E8"/>
    <w:rsid w:val="00C90311"/>
    <w:rsid w:val="00C91842"/>
    <w:rsid w:val="00C91C26"/>
    <w:rsid w:val="00CA73D5"/>
    <w:rsid w:val="00CB5A2D"/>
    <w:rsid w:val="00CC1C87"/>
    <w:rsid w:val="00CC3000"/>
    <w:rsid w:val="00CC4859"/>
    <w:rsid w:val="00CC6F95"/>
    <w:rsid w:val="00CC7A35"/>
    <w:rsid w:val="00CD072A"/>
    <w:rsid w:val="00CD2C55"/>
    <w:rsid w:val="00CE26C5"/>
    <w:rsid w:val="00CE36AF"/>
    <w:rsid w:val="00CF0DA5"/>
    <w:rsid w:val="00CF253E"/>
    <w:rsid w:val="00CF76AE"/>
    <w:rsid w:val="00CF791A"/>
    <w:rsid w:val="00D001FE"/>
    <w:rsid w:val="00D00D7D"/>
    <w:rsid w:val="00D139C8"/>
    <w:rsid w:val="00D17F81"/>
    <w:rsid w:val="00D200E1"/>
    <w:rsid w:val="00D2758C"/>
    <w:rsid w:val="00D275CA"/>
    <w:rsid w:val="00D2789B"/>
    <w:rsid w:val="00D31F64"/>
    <w:rsid w:val="00D32903"/>
    <w:rsid w:val="00D345AB"/>
    <w:rsid w:val="00D44426"/>
    <w:rsid w:val="00D458EC"/>
    <w:rsid w:val="00D501B0"/>
    <w:rsid w:val="00D52582"/>
    <w:rsid w:val="00D56A0E"/>
    <w:rsid w:val="00D57AD3"/>
    <w:rsid w:val="00D635FE"/>
    <w:rsid w:val="00D75B6A"/>
    <w:rsid w:val="00D84BDA"/>
    <w:rsid w:val="00D876A8"/>
    <w:rsid w:val="00D87F26"/>
    <w:rsid w:val="00D92C0C"/>
    <w:rsid w:val="00D93063"/>
    <w:rsid w:val="00D933B0"/>
    <w:rsid w:val="00D977E8"/>
    <w:rsid w:val="00DA5F28"/>
    <w:rsid w:val="00DB3763"/>
    <w:rsid w:val="00DB4029"/>
    <w:rsid w:val="00DB5F4D"/>
    <w:rsid w:val="00DB6DA5"/>
    <w:rsid w:val="00DC076B"/>
    <w:rsid w:val="00DC186F"/>
    <w:rsid w:val="00DC226A"/>
    <w:rsid w:val="00DC252F"/>
    <w:rsid w:val="00DC48B8"/>
    <w:rsid w:val="00DC6050"/>
    <w:rsid w:val="00DD3FC8"/>
    <w:rsid w:val="00DD7A0A"/>
    <w:rsid w:val="00DE4725"/>
    <w:rsid w:val="00DE6F44"/>
    <w:rsid w:val="00E037D9"/>
    <w:rsid w:val="00E130EB"/>
    <w:rsid w:val="00E150C4"/>
    <w:rsid w:val="00E15ECF"/>
    <w:rsid w:val="00E162CD"/>
    <w:rsid w:val="00E17FA5"/>
    <w:rsid w:val="00E2089F"/>
    <w:rsid w:val="00E2102D"/>
    <w:rsid w:val="00E25CE2"/>
    <w:rsid w:val="00E26930"/>
    <w:rsid w:val="00E27257"/>
    <w:rsid w:val="00E449D0"/>
    <w:rsid w:val="00E4506A"/>
    <w:rsid w:val="00E45AE5"/>
    <w:rsid w:val="00E53F99"/>
    <w:rsid w:val="00E56510"/>
    <w:rsid w:val="00E62EA8"/>
    <w:rsid w:val="00E67A6E"/>
    <w:rsid w:val="00E71B43"/>
    <w:rsid w:val="00E81612"/>
    <w:rsid w:val="00E819E4"/>
    <w:rsid w:val="00E83773"/>
    <w:rsid w:val="00E87D18"/>
    <w:rsid w:val="00E87D62"/>
    <w:rsid w:val="00EA486E"/>
    <w:rsid w:val="00EA4FA3"/>
    <w:rsid w:val="00EB001B"/>
    <w:rsid w:val="00EB0A24"/>
    <w:rsid w:val="00EB6C33"/>
    <w:rsid w:val="00ED6019"/>
    <w:rsid w:val="00ED7830"/>
    <w:rsid w:val="00EF4205"/>
    <w:rsid w:val="00EF5939"/>
    <w:rsid w:val="00F01714"/>
    <w:rsid w:val="00F0258F"/>
    <w:rsid w:val="00F02D06"/>
    <w:rsid w:val="00F052DE"/>
    <w:rsid w:val="00F16F35"/>
    <w:rsid w:val="00F2320A"/>
    <w:rsid w:val="00F23425"/>
    <w:rsid w:val="00F25ABB"/>
    <w:rsid w:val="00F277D1"/>
    <w:rsid w:val="00F27963"/>
    <w:rsid w:val="00F30446"/>
    <w:rsid w:val="00F31425"/>
    <w:rsid w:val="00F3568D"/>
    <w:rsid w:val="00F37A02"/>
    <w:rsid w:val="00F4135D"/>
    <w:rsid w:val="00F41F1B"/>
    <w:rsid w:val="00F45924"/>
    <w:rsid w:val="00F46BD9"/>
    <w:rsid w:val="00F60BE0"/>
    <w:rsid w:val="00F6280E"/>
    <w:rsid w:val="00F63855"/>
    <w:rsid w:val="00F7050A"/>
    <w:rsid w:val="00F75533"/>
    <w:rsid w:val="00F82910"/>
    <w:rsid w:val="00F84BF5"/>
    <w:rsid w:val="00F87F0F"/>
    <w:rsid w:val="00F9773E"/>
    <w:rsid w:val="00FA02FD"/>
    <w:rsid w:val="00FA3811"/>
    <w:rsid w:val="00FA3B9F"/>
    <w:rsid w:val="00FA3F06"/>
    <w:rsid w:val="00FA4A26"/>
    <w:rsid w:val="00FB1929"/>
    <w:rsid w:val="00FB4A53"/>
    <w:rsid w:val="00FB54AD"/>
    <w:rsid w:val="00FD33AB"/>
    <w:rsid w:val="00FD4724"/>
    <w:rsid w:val="00FD4A68"/>
    <w:rsid w:val="00FD68ED"/>
    <w:rsid w:val="00FE2824"/>
    <w:rsid w:val="00FE5D3F"/>
    <w:rsid w:val="00FE5DC3"/>
    <w:rsid w:val="00FE5E2D"/>
    <w:rsid w:val="00FE661F"/>
    <w:rsid w:val="00FF0400"/>
    <w:rsid w:val="00FF1449"/>
    <w:rsid w:val="00FF3D6B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BEC285-062F-46EC-8248-5283D81C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2729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A2729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5E6C84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5E6C84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autoRedefine/>
    <w:qFormat/>
    <w:rsid w:val="00A60146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autoRedefine/>
    <w:qFormat/>
    <w:rsid w:val="004D267A"/>
    <w:pPr>
      <w:spacing w:before="120" w:after="120" w:line="240" w:lineRule="auto"/>
      <w:ind w:left="360"/>
    </w:pPr>
    <w:rPr>
      <w:sz w:val="20"/>
    </w:r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ReflectionQ">
    <w:name w:val="Reflection Q"/>
    <w:basedOn w:val="BodyTextL25"/>
    <w:next w:val="BodyTextL25"/>
    <w:qFormat/>
    <w:rsid w:val="00A2729D"/>
    <w:pPr>
      <w:numPr>
        <w:ilvl w:val="1"/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54E3A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60146"/>
    <w:pPr>
      <w:numPr>
        <w:numId w:val="5"/>
      </w:numPr>
    </w:pPr>
  </w:style>
  <w:style w:type="numbering" w:customStyle="1" w:styleId="SectionList">
    <w:name w:val="Section_List"/>
    <w:basedOn w:val="NoList"/>
    <w:uiPriority w:val="99"/>
    <w:rsid w:val="00A2729D"/>
    <w:pPr>
      <w:numPr>
        <w:numId w:val="4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paragraph" w:customStyle="1" w:styleId="BoldBodyText">
    <w:name w:val="Bold Body Text"/>
    <w:basedOn w:val="Normal"/>
    <w:autoRedefine/>
    <w:qFormat/>
    <w:rsid w:val="000B2344"/>
    <w:pPr>
      <w:numPr>
        <w:numId w:val="3"/>
      </w:numPr>
    </w:pPr>
    <w:rPr>
      <w:b/>
      <w:sz w:val="20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styleId="NormalWeb">
    <w:name w:val="Normal (Web)"/>
    <w:basedOn w:val="Normal"/>
    <w:uiPriority w:val="99"/>
    <w:unhideWhenUsed/>
    <w:rsid w:val="00BF7D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17FFF-4298-4EB8-980F-AF5B3763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Johnson Wang</cp:lastModifiedBy>
  <cp:revision>13</cp:revision>
  <cp:lastPrinted>2015-07-14T16:23:00Z</cp:lastPrinted>
  <dcterms:created xsi:type="dcterms:W3CDTF">2015-07-14T16:17:00Z</dcterms:created>
  <dcterms:modified xsi:type="dcterms:W3CDTF">2016-01-25T03:24:00Z</dcterms:modified>
</cp:coreProperties>
</file>