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77707207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A35CDC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73F159B8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25EA2A6F">
                <wp:simplePos x="0" y="0"/>
                <wp:positionH relativeFrom="margin">
                  <wp:align>right</wp:align>
                </wp:positionH>
                <wp:positionV relativeFrom="paragraph">
                  <wp:posOffset>586740</wp:posOffset>
                </wp:positionV>
                <wp:extent cx="6838950" cy="38766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1AAC0590" w:rsidR="00553A63" w:rsidRDefault="008B5E54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E19FC" wp14:editId="371861B8">
                                  <wp:extent cx="6686550" cy="3802402"/>
                                  <wp:effectExtent l="0" t="0" r="0" b="7620"/>
                                  <wp:docPr id="7518174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18174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0744" cy="38047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87.3pt;margin-top:46.2pt;width:538.5pt;height:305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">
                <v:textbox>
                  <w:txbxContent>
                    <w:p w14:paraId="17D7F985" w14:textId="1AAC0590" w:rsidR="00553A63" w:rsidRDefault="008B5E54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545E19FC" wp14:editId="371861B8">
                            <wp:extent cx="6686550" cy="3802402"/>
                            <wp:effectExtent l="0" t="0" r="0" b="7620"/>
                            <wp:docPr id="7518174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18174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0744" cy="38047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</w:t>
      </w:r>
      <w:r w:rsidR="00546702">
        <w:rPr>
          <w:rFonts w:ascii="Arial" w:hAnsi="Arial" w:cs="Arial"/>
          <w:b/>
          <w:bCs/>
          <w:color w:val="0070C0"/>
        </w:rPr>
        <w:t>1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76C709E7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83002A">
        <w:rPr>
          <w:rFonts w:ascii="Arial" w:eastAsia="Times New Roman" w:hAnsi="Arial" w:cs="Arial"/>
          <w:b/>
          <w:bCs/>
          <w:i w:val="0"/>
          <w:iCs w:val="0"/>
          <w:color w:val="0070C0"/>
        </w:rPr>
        <w:t>Ejer1</w:t>
      </w:r>
      <w:r w:rsidR="00546702">
        <w:rPr>
          <w:rFonts w:ascii="Arial" w:eastAsia="Times New Roman" w:hAnsi="Arial" w:cs="Arial"/>
          <w:b/>
          <w:bCs/>
          <w:i w:val="0"/>
          <w:iCs w:val="0"/>
          <w:color w:val="0070C0"/>
        </w:rPr>
        <w:t>1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69E43615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r</w:t>
      </w:r>
      <w:r w:rsidR="00BE3110">
        <w:rPr>
          <w:rFonts w:ascii="Arial" w:eastAsia="Times New Roman" w:hAnsi="Arial" w:cs="Arial"/>
          <w:i w:val="0"/>
          <w:iCs w:val="0"/>
          <w:color w:val="auto"/>
        </w:rPr>
        <w:t>uteadores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Heading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Switch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SPisos</w:t>
            </w:r>
            <w:proofErr w:type="spellEnd"/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Router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RPisos</w:t>
            </w:r>
            <w:proofErr w:type="spellEnd"/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580357">
    <w:abstractNumId w:val="8"/>
  </w:num>
  <w:num w:numId="2" w16cid:durableId="1656184885">
    <w:abstractNumId w:val="2"/>
  </w:num>
  <w:num w:numId="3" w16cid:durableId="1740008795">
    <w:abstractNumId w:val="3"/>
  </w:num>
  <w:num w:numId="4" w16cid:durableId="525363484">
    <w:abstractNumId w:val="5"/>
  </w:num>
  <w:num w:numId="5" w16cid:durableId="242879107">
    <w:abstractNumId w:val="4"/>
  </w:num>
  <w:num w:numId="6" w16cid:durableId="345601188">
    <w:abstractNumId w:val="0"/>
  </w:num>
  <w:num w:numId="7" w16cid:durableId="432089588">
    <w:abstractNumId w:val="12"/>
  </w:num>
  <w:num w:numId="8" w16cid:durableId="812672600">
    <w:abstractNumId w:val="16"/>
  </w:num>
  <w:num w:numId="9" w16cid:durableId="1411079829">
    <w:abstractNumId w:val="6"/>
  </w:num>
  <w:num w:numId="10" w16cid:durableId="1464736492">
    <w:abstractNumId w:val="9"/>
  </w:num>
  <w:num w:numId="11" w16cid:durableId="1955483206">
    <w:abstractNumId w:val="14"/>
  </w:num>
  <w:num w:numId="12" w16cid:durableId="1533766833">
    <w:abstractNumId w:val="1"/>
  </w:num>
  <w:num w:numId="13" w16cid:durableId="2145612864">
    <w:abstractNumId w:val="13"/>
  </w:num>
  <w:num w:numId="14" w16cid:durableId="617491785">
    <w:abstractNumId w:val="18"/>
  </w:num>
  <w:num w:numId="15" w16cid:durableId="1680812991">
    <w:abstractNumId w:val="10"/>
  </w:num>
  <w:num w:numId="16" w16cid:durableId="139346418">
    <w:abstractNumId w:val="11"/>
  </w:num>
  <w:num w:numId="17" w16cid:durableId="973749810">
    <w:abstractNumId w:val="15"/>
  </w:num>
  <w:num w:numId="18" w16cid:durableId="1170826982">
    <w:abstractNumId w:val="7"/>
  </w:num>
  <w:num w:numId="19" w16cid:durableId="1410999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1AE5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33E2"/>
    <w:rsid w:val="00535DE4"/>
    <w:rsid w:val="0054263D"/>
    <w:rsid w:val="005434F3"/>
    <w:rsid w:val="00546702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002A"/>
    <w:rsid w:val="008345F6"/>
    <w:rsid w:val="00860496"/>
    <w:rsid w:val="00873BB2"/>
    <w:rsid w:val="00875FB7"/>
    <w:rsid w:val="00877347"/>
    <w:rsid w:val="008B094D"/>
    <w:rsid w:val="008B5E54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35CDC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E3110"/>
    <w:rsid w:val="00BF62BA"/>
    <w:rsid w:val="00C07663"/>
    <w:rsid w:val="00C21571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2023-06-01T05:13:00Z</dcterms:created>
  <dcterms:modified xsi:type="dcterms:W3CDTF">2024-11-13T22:41:00Z</dcterms:modified>
</cp:coreProperties>
</file>