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134FEE">
        <w:rPr>
          <w:rFonts w:ascii="Arial" w:hAnsi="Arial"/>
          <w:spacing w:val="0"/>
          <w:szCs w:val="22"/>
        </w:rPr>
        <w:t xml:space="preserve">Agosto </w:t>
      </w:r>
      <w:r w:rsidR="00C21B68" w:rsidRPr="003D69C5">
        <w:rPr>
          <w:rFonts w:ascii="Arial" w:hAnsi="Arial"/>
          <w:spacing w:val="0"/>
          <w:szCs w:val="22"/>
        </w:rPr>
        <w:t xml:space="preserve">- </w:t>
      </w:r>
      <w:r w:rsidR="00134FEE">
        <w:rPr>
          <w:rFonts w:ascii="Arial" w:hAnsi="Arial"/>
          <w:spacing w:val="0"/>
          <w:szCs w:val="22"/>
        </w:rPr>
        <w:t>Diciembre</w:t>
      </w:r>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134FEE">
        <w:rPr>
          <w:rFonts w:ascii="Arial" w:hAnsi="Arial"/>
          <w:sz w:val="22"/>
          <w:szCs w:val="22"/>
          <w:u w:val="single"/>
        </w:rPr>
        <w:t>5</w:t>
      </w:r>
      <w:r w:rsidR="009E5E6D" w:rsidRPr="003D69C5">
        <w:rPr>
          <w:rFonts w:ascii="Arial" w:hAnsi="Arial"/>
          <w:sz w:val="22"/>
          <w:szCs w:val="22"/>
          <w:u w:val="single"/>
        </w:rPr>
        <w:t>0</w:t>
      </w:r>
      <w:r w:rsidR="00A36221">
        <w:rPr>
          <w:rFonts w:ascii="Arial" w:hAnsi="Arial"/>
          <w:sz w:val="22"/>
          <w:szCs w:val="22"/>
          <w:u w:val="single"/>
        </w:rPr>
        <w:t>2</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 xml:space="preserve">Martes y Viernes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rsidR="00134FEE" w:rsidRPr="003D69C5" w:rsidRDefault="00134FEE" w:rsidP="00134FEE">
      <w:pPr>
        <w:spacing w:before="120"/>
        <w:rPr>
          <w:rFonts w:ascii="Arial" w:hAnsi="Arial"/>
          <w:snapToGrid w:val="0"/>
          <w:sz w:val="22"/>
          <w:szCs w:val="22"/>
          <w:lang w:eastAsia="es-ES"/>
        </w:rPr>
      </w:pPr>
      <w:r>
        <w:rPr>
          <w:rFonts w:ascii="Arial" w:hAnsi="Arial"/>
          <w:b/>
          <w:snapToGrid w:val="0"/>
          <w:sz w:val="22"/>
          <w:szCs w:val="22"/>
          <w:lang w:eastAsia="es-ES"/>
        </w:rPr>
        <w:t>Aula virtual</w:t>
      </w:r>
      <w:r w:rsidRPr="003D69C5">
        <w:rPr>
          <w:rFonts w:ascii="Arial" w:hAnsi="Arial"/>
          <w:b/>
          <w:snapToGrid w:val="0"/>
          <w:sz w:val="22"/>
          <w:szCs w:val="22"/>
          <w:lang w:eastAsia="es-ES"/>
        </w:rPr>
        <w:t>:</w:t>
      </w:r>
      <w:r>
        <w:rPr>
          <w:rFonts w:ascii="Arial" w:hAnsi="Arial"/>
          <w:b/>
          <w:snapToGrid w:val="0"/>
          <w:sz w:val="22"/>
          <w:szCs w:val="22"/>
          <w:lang w:eastAsia="es-ES"/>
        </w:rPr>
        <w:t xml:space="preserve"> </w:t>
      </w:r>
      <w:r>
        <w:rPr>
          <w:rFonts w:ascii="Arial" w:hAnsi="Arial"/>
          <w:snapToGrid w:val="0"/>
          <w:sz w:val="22"/>
          <w:szCs w:val="22"/>
          <w:u w:val="single"/>
          <w:lang w:eastAsia="es-ES"/>
        </w:rPr>
        <w:t xml:space="preserve">  ht</w:t>
      </w:r>
      <w:r w:rsidRPr="00CC78F5">
        <w:rPr>
          <w:rFonts w:ascii="Arial" w:hAnsi="Arial"/>
          <w:snapToGrid w:val="0"/>
          <w:sz w:val="22"/>
          <w:szCs w:val="22"/>
          <w:u w:val="single"/>
          <w:lang w:eastAsia="es-ES"/>
        </w:rPr>
        <w:t>tps://itesm.zoom.us/j/2496423157</w:t>
      </w:r>
      <w:r w:rsidRPr="003D69C5">
        <w:rPr>
          <w:rFonts w:ascii="Arial" w:hAnsi="Arial"/>
          <w:snapToGrid w:val="0"/>
          <w:sz w:val="22"/>
          <w:szCs w:val="22"/>
          <w:u w:val="single"/>
          <w:lang w:eastAsia="es-ES"/>
        </w:rPr>
        <w:t xml:space="preserve">  </w:t>
      </w:r>
    </w:p>
    <w:p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Lunes y Jueves de 12:00 a 1:00 p.m. y de 3:00 a </w:t>
      </w:r>
      <w:r w:rsidR="00BD453E">
        <w:rPr>
          <w:rFonts w:ascii="Arial" w:hAnsi="Arial"/>
          <w:sz w:val="22"/>
          <w:u w:val="single"/>
        </w:rPr>
        <w:t>4</w:t>
      </w:r>
      <w:bookmarkStart w:id="1" w:name="_GoBack"/>
      <w:bookmarkEnd w:id="1"/>
      <w:r>
        <w:rPr>
          <w:rFonts w:ascii="Arial" w:hAnsi="Arial"/>
          <w:sz w:val="22"/>
          <w:u w:val="single"/>
        </w:rPr>
        <w:t>:00 p.m. Miércoles de 4:00 a 5:00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r w:rsidRPr="00E3453A">
        <w:rPr>
          <w:rFonts w:ascii="Arial" w:hAnsi="Arial"/>
          <w:sz w:val="22"/>
          <w:u w:val="single"/>
        </w:rPr>
        <w:t>.</w:t>
      </w:r>
    </w:p>
    <w:bookmarkEnd w:id="0"/>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2</w:t>
      </w:r>
      <w:r w:rsidR="005E07F7">
        <w:rPr>
          <w:sz w:val="22"/>
        </w:rPr>
        <w:t>3:59 p.m.</w:t>
      </w:r>
      <w:r w:rsidR="005E07F7">
        <w:rPr>
          <w:sz w:val="22"/>
        </w:rPr>
        <w:t xml:space="preserve"> </w:t>
      </w:r>
    </w:p>
    <w:p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Pr>
          <w:b/>
          <w:bCs/>
          <w:i/>
          <w:iCs/>
          <w:sz w:val="22"/>
        </w:rPr>
        <w:t>MARTES</w:t>
      </w:r>
      <w:r w:rsidRPr="00E429E7">
        <w:rPr>
          <w:b/>
          <w:bCs/>
          <w:i/>
          <w:iCs/>
          <w:sz w:val="22"/>
        </w:rPr>
        <w:t xml:space="preserve"> </w:t>
      </w:r>
      <w:r w:rsidRPr="00E429E7">
        <w:rPr>
          <w:sz w:val="22"/>
        </w:rPr>
        <w:t xml:space="preserve">o </w:t>
      </w:r>
      <w:r>
        <w:rPr>
          <w:b/>
          <w:bCs/>
          <w:i/>
          <w:iCs/>
          <w:sz w:val="22"/>
        </w:rPr>
        <w:t>VIERNES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 xml:space="preserve">Viernes </w:t>
      </w:r>
      <w:r w:rsidR="005E07F7">
        <w:rPr>
          <w:sz w:val="22"/>
          <w:u w:val="single"/>
        </w:rPr>
        <w:t>4 de Septiembre</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 xml:space="preserve">Viernes </w:t>
      </w:r>
      <w:r w:rsidR="005E07F7">
        <w:rPr>
          <w:sz w:val="22"/>
          <w:u w:val="single"/>
        </w:rPr>
        <w:t>9 de Octubre</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5E07F7" w:rsidRPr="00E429E7" w:rsidRDefault="005E07F7" w:rsidP="005E07F7">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D75FED" w:rsidRDefault="00D75FED" w:rsidP="00D75FED">
      <w:pPr>
        <w:rPr>
          <w:rFonts w:ascii="Arial" w:hAnsi="Arial"/>
          <w:sz w:val="16"/>
          <w:szCs w:val="16"/>
        </w:rPr>
      </w:pPr>
    </w:p>
    <w:p w:rsidR="005E07F7" w:rsidRPr="00164F97" w:rsidRDefault="005E07F7" w:rsidP="005E07F7">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bookmarkStart w:id="2" w:name="_Hlk534991296"/>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5E07F7" w:rsidRDefault="005E07F7" w:rsidP="005E07F7">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Pr="00355E95">
        <w:rPr>
          <w:sz w:val="22"/>
        </w:rPr>
        <w:t xml:space="preserve"> </w:t>
      </w:r>
      <w:r>
        <w:rPr>
          <w:sz w:val="22"/>
        </w:rPr>
        <w:t>Se evaluará la calidad de la entrega y queda a consideración del profesor la calificación de la misma.</w:t>
      </w:r>
    </w:p>
    <w:p w:rsidR="005E07F7" w:rsidRDefault="005E07F7" w:rsidP="005E07F7">
      <w:pPr>
        <w:rPr>
          <w:rFonts w:ascii="Arial" w:hAnsi="Arial"/>
          <w:sz w:val="16"/>
          <w:szCs w:val="16"/>
        </w:rPr>
      </w:pPr>
    </w:p>
    <w:p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5E07F7" w:rsidRDefault="005E07F7" w:rsidP="005E07F7">
      <w:pPr>
        <w:pStyle w:val="Textoindependiente"/>
        <w:spacing w:before="0" w:line="320" w:lineRule="exact"/>
        <w:rPr>
          <w:sz w:val="22"/>
        </w:rPr>
      </w:pPr>
      <w:r>
        <w:rPr>
          <w:sz w:val="22"/>
        </w:rPr>
        <w:t>Las calificaciones parciales y final se expresan en escala de diez a cien.</w:t>
      </w:r>
    </w:p>
    <w:p w:rsidR="005E07F7" w:rsidRDefault="005E07F7" w:rsidP="005E07F7">
      <w:pPr>
        <w:pStyle w:val="Textoindependiente"/>
        <w:spacing w:before="0" w:line="320" w:lineRule="exact"/>
        <w:rPr>
          <w:sz w:val="22"/>
        </w:rPr>
      </w:pPr>
      <w:r>
        <w:rPr>
          <w:sz w:val="22"/>
        </w:rPr>
        <w:t>La calificación mínima aprobatoria es 70 (SETENTA).</w:t>
      </w:r>
    </w:p>
    <w:p w:rsidR="005E07F7" w:rsidRPr="005E07F7" w:rsidRDefault="005E07F7" w:rsidP="005E07F7">
      <w:pPr>
        <w:pStyle w:val="Textoindependiente"/>
        <w:spacing w:before="0" w:line="240" w:lineRule="auto"/>
        <w:rPr>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2"/>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lastRenderedPageBreak/>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Pr="00E429E7">
        <w:rPr>
          <w:b/>
          <w:bCs/>
          <w:sz w:val="22"/>
          <w:lang w:val="es-MX"/>
        </w:rPr>
        <w:t>jueves 22 de Octubre</w:t>
      </w:r>
      <w:r w:rsidRPr="00E429E7">
        <w:rPr>
          <w:sz w:val="22"/>
          <w:lang w:val="es-MX"/>
        </w:rPr>
        <w:t>.</w:t>
      </w: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778" w:rsidRDefault="00706778">
      <w:r>
        <w:separator/>
      </w:r>
    </w:p>
  </w:endnote>
  <w:endnote w:type="continuationSeparator" w:id="0">
    <w:p w:rsidR="00706778" w:rsidRDefault="00706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778" w:rsidRDefault="00706778">
      <w:r>
        <w:separator/>
      </w:r>
    </w:p>
  </w:footnote>
  <w:footnote w:type="continuationSeparator" w:id="0">
    <w:p w:rsidR="00706778" w:rsidRDefault="00706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696DB"/>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B05F0-036C-4CF6-9F88-F1CE8BBB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1567</Words>
  <Characters>8622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2020-02-11T15:40:00Z</cp:lastPrinted>
  <dcterms:created xsi:type="dcterms:W3CDTF">2020-08-09T22:22:00Z</dcterms:created>
  <dcterms:modified xsi:type="dcterms:W3CDTF">2020-08-09T22:32:00Z</dcterms:modified>
</cp:coreProperties>
</file>