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FB0CA4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EC5FE4">
        <w:rPr>
          <w:rFonts w:ascii="Arial" w:hAnsi="Arial"/>
          <w:sz w:val="22"/>
          <w:szCs w:val="22"/>
          <w:u w:val="single"/>
        </w:rPr>
        <w:t>208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_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3C24DC36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4303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404F3BE9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7F4BA7">
        <w:rPr>
          <w:rFonts w:cs="Arial"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C5FE4" w:rsidRPr="007F4BA7">
        <w:rPr>
          <w:rFonts w:cs="Arial"/>
          <w:b/>
          <w:bCs/>
          <w:i/>
          <w:iCs/>
          <w:sz w:val="22"/>
          <w:szCs w:val="22"/>
        </w:rPr>
        <w:t>SABADOS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05A8730D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</w:p>
    <w:p w14:paraId="35E5391F" w14:textId="303C46A5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MARTES </w:t>
      </w:r>
      <w:r w:rsidR="00C95997" w:rsidRPr="007F4BA7">
        <w:rPr>
          <w:rFonts w:cs="Arial"/>
          <w:sz w:val="22"/>
          <w:szCs w:val="22"/>
        </w:rPr>
        <w:t xml:space="preserve">y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VIERNES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024160A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La entrega de los avances de</w:t>
      </w:r>
      <w:r w:rsidRPr="007F4BA7">
        <w:rPr>
          <w:rFonts w:cs="Arial"/>
          <w:sz w:val="22"/>
          <w:szCs w:val="22"/>
        </w:rPr>
        <w:t xml:space="preserve"> la situación problema </w:t>
      </w:r>
      <w:r w:rsidRPr="007F4BA7">
        <w:rPr>
          <w:rFonts w:cs="Arial"/>
          <w:sz w:val="22"/>
          <w:szCs w:val="22"/>
        </w:rPr>
        <w:t xml:space="preserve">será a través de la plataforma </w:t>
      </w:r>
      <w:proofErr w:type="spellStart"/>
      <w:r w:rsidRPr="007F4BA7">
        <w:rPr>
          <w:rFonts w:cs="Arial"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115B8DC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Primer entrega</w:t>
      </w:r>
      <w:r w:rsidRPr="007F4BA7">
        <w:rPr>
          <w:rFonts w:cs="Arial"/>
          <w:sz w:val="22"/>
          <w:szCs w:val="22"/>
        </w:rPr>
        <w:t xml:space="preserve">: </w:t>
      </w:r>
      <w:r w:rsidRPr="007F4BA7">
        <w:rPr>
          <w:rFonts w:cs="Arial"/>
          <w:sz w:val="22"/>
          <w:szCs w:val="22"/>
          <w:u w:val="single"/>
        </w:rPr>
        <w:t>Jueves 29 de Septiembre</w:t>
      </w:r>
    </w:p>
    <w:p w14:paraId="005BDB20" w14:textId="7EDF89CC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Jueves 20 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949C23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FECHA DE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FINAL</w:t>
      </w:r>
    </w:p>
    <w:p w14:paraId="21E42C82" w14:textId="267ABCB9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</w:t>
      </w:r>
      <w:r w:rsidRPr="007F4BA7">
        <w:rPr>
          <w:rFonts w:cs="Arial"/>
          <w:sz w:val="22"/>
          <w:szCs w:val="22"/>
        </w:rPr>
        <w:t>final</w:t>
      </w:r>
      <w:r w:rsidRPr="007F4BA7">
        <w:rPr>
          <w:rFonts w:cs="Arial"/>
          <w:sz w:val="22"/>
          <w:szCs w:val="22"/>
        </w:rPr>
        <w:t xml:space="preserve">: </w:t>
      </w:r>
      <w:r w:rsidRPr="007F4BA7">
        <w:rPr>
          <w:rFonts w:cs="Arial"/>
          <w:sz w:val="22"/>
          <w:szCs w:val="22"/>
          <w:u w:val="single"/>
        </w:rPr>
        <w:t xml:space="preserve">Jueves </w:t>
      </w:r>
      <w:r w:rsidRPr="007F4BA7">
        <w:rPr>
          <w:rFonts w:cs="Arial"/>
          <w:sz w:val="22"/>
          <w:szCs w:val="22"/>
          <w:u w:val="single"/>
        </w:rPr>
        <w:t>20</w:t>
      </w:r>
      <w:r w:rsidRPr="007F4BA7">
        <w:rPr>
          <w:rFonts w:cs="Arial"/>
          <w:sz w:val="22"/>
          <w:szCs w:val="22"/>
          <w:u w:val="single"/>
        </w:rPr>
        <w:t xml:space="preserve"> de </w:t>
      </w:r>
      <w:r w:rsidRPr="007F4BA7">
        <w:rPr>
          <w:rFonts w:cs="Arial"/>
          <w:sz w:val="22"/>
          <w:szCs w:val="22"/>
          <w:u w:val="single"/>
        </w:rPr>
        <w:t>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792ADFD8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Para la presentación de los exámenes rápidos, parcial e integrador 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</w:t>
      </w:r>
      <w:proofErr w:type="spellStart"/>
      <w:r w:rsidRPr="007F4BA7">
        <w:rPr>
          <w:rFonts w:cs="Arial"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Monitor realiza el monitoreo del examen; tanto tú como tu entorno serán videograbados durante toda la aplicación del examen con el objeto de asegurar la integridad académica</w:t>
      </w:r>
      <w:r w:rsidRPr="007F4BA7">
        <w:rPr>
          <w:rFonts w:cs="Arial"/>
          <w:color w:val="3B3838"/>
          <w:sz w:val="22"/>
          <w:szCs w:val="22"/>
        </w:rPr>
        <w:t>.</w:t>
      </w:r>
    </w:p>
    <w:p w14:paraId="39DAF4C4" w14:textId="69B170AA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Es importante que un día antes de la fecha de examen final realicen el examen de prueba</w:t>
      </w:r>
      <w:r w:rsidRPr="007F4BA7">
        <w:rPr>
          <w:rFonts w:cs="Arial"/>
          <w:color w:val="3B3838"/>
          <w:sz w:val="22"/>
          <w:szCs w:val="22"/>
        </w:rPr>
        <w:t>. E</w:t>
      </w:r>
      <w:r w:rsidRPr="007F4BA7">
        <w:rPr>
          <w:rFonts w:cs="Arial"/>
          <w:color w:val="3B3838"/>
          <w:sz w:val="22"/>
          <w:szCs w:val="22"/>
        </w:rPr>
        <w:t>ste examen de prueba es para asegurar que tu equipo cumple con los requerimientos técnicos necesarios, que la cámara y micrófono funcionen correctamente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</w:t>
            </w:r>
            <w:r w:rsidRPr="007F4BA7">
              <w:rPr>
                <w:rFonts w:ascii="Arial" w:hAnsi="Arial" w:cs="Arial"/>
                <w:lang w:val="es-MX"/>
              </w:rPr>
              <w:t>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7568" w14:textId="77777777" w:rsidR="00D905DA" w:rsidRDefault="00D905DA">
      <w:r>
        <w:separator/>
      </w:r>
    </w:p>
  </w:endnote>
  <w:endnote w:type="continuationSeparator" w:id="0">
    <w:p w14:paraId="1B9EE62E" w14:textId="77777777" w:rsidR="00D905DA" w:rsidRDefault="00D9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41C2" w14:textId="77777777" w:rsidR="00D905DA" w:rsidRDefault="00D905DA">
      <w:r>
        <w:separator/>
      </w:r>
    </w:p>
  </w:footnote>
  <w:footnote w:type="continuationSeparator" w:id="0">
    <w:p w14:paraId="016CA240" w14:textId="77777777" w:rsidR="00D905DA" w:rsidRDefault="00D90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B3720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05DA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2022-09-18T21:14:00Z</dcterms:created>
  <dcterms:modified xsi:type="dcterms:W3CDTF">2022-09-18T21:14:00Z</dcterms:modified>
</cp:coreProperties>
</file>