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F03816">
        <w:rPr>
          <w:rFonts w:ascii="Arial" w:hAnsi="Arial"/>
          <w:spacing w:val="0"/>
          <w:szCs w:val="22"/>
        </w:rPr>
        <w:t xml:space="preserve">Enero – Mayo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bookmarkStart w:id="0" w:name="_GoBack"/>
      <w:bookmarkEnd w:id="0"/>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Pr>
          <w:rFonts w:ascii="Arial" w:hAnsi="Arial"/>
          <w:sz w:val="22"/>
        </w:rPr>
        <w:t xml:space="preserve"> </w:t>
      </w:r>
      <w:r w:rsidR="0007060C">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C46C2B">
        <w:rPr>
          <w:rFonts w:ascii="Arial" w:hAnsi="Arial"/>
          <w:sz w:val="22"/>
          <w:u w:val="single"/>
        </w:rPr>
        <w:t>3308</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1"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765C32">
        <w:rPr>
          <w:rFonts w:ascii="Arial" w:hAnsi="Arial"/>
          <w:sz w:val="22"/>
          <w:u w:val="single"/>
        </w:rPr>
        <w:t>Lunes, Martes, Jueves y Viernes de 4:00 a 5:00 p.m. Martes y Viernes</w:t>
      </w:r>
      <w:r w:rsidR="008114B0">
        <w:rPr>
          <w:rFonts w:ascii="Arial" w:hAnsi="Arial"/>
          <w:sz w:val="22"/>
          <w:u w:val="single"/>
        </w:rPr>
        <w:t xml:space="preserve"> de 11:</w:t>
      </w:r>
      <w:r w:rsidR="00765C32">
        <w:rPr>
          <w:rFonts w:ascii="Arial" w:hAnsi="Arial"/>
          <w:sz w:val="22"/>
          <w:u w:val="single"/>
        </w:rPr>
        <w:t>45</w:t>
      </w:r>
      <w:r w:rsidR="008114B0">
        <w:rPr>
          <w:rFonts w:ascii="Arial" w:hAnsi="Arial"/>
          <w:sz w:val="22"/>
          <w:u w:val="single"/>
        </w:rPr>
        <w:t xml:space="preserve"> a.m.</w:t>
      </w:r>
      <w:r w:rsidR="00765C32">
        <w:rPr>
          <w:rFonts w:ascii="Arial" w:hAnsi="Arial"/>
          <w:sz w:val="22"/>
          <w:u w:val="single"/>
        </w:rPr>
        <w:t xml:space="preserve"> a 12:45 p.m.</w:t>
      </w:r>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bookmarkEnd w:id="1"/>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rsidR="00C154FF" w:rsidRDefault="00C154FF">
      <w:pPr>
        <w:pStyle w:val="Textoindependiente"/>
        <w:spacing w:line="240" w:lineRule="auto"/>
        <w:rPr>
          <w:sz w:val="22"/>
        </w:rPr>
      </w:pPr>
      <w:r>
        <w:rPr>
          <w:sz w:val="22"/>
        </w:rPr>
        <w:t xml:space="preserve">2do. Parcial: </w:t>
      </w:r>
      <w:r w:rsidR="00F03816">
        <w:rPr>
          <w:b/>
          <w:sz w:val="22"/>
          <w:u w:val="single"/>
        </w:rPr>
        <w:t>Lunes 12 de Abril</w:t>
      </w:r>
      <w:r w:rsidR="00A915A4">
        <w:rPr>
          <w:b/>
          <w:sz w:val="22"/>
          <w:u w:val="single"/>
        </w:rPr>
        <w:t xml:space="preserve"> y </w:t>
      </w:r>
      <w:r w:rsidR="00F03816">
        <w:rPr>
          <w:b/>
          <w:sz w:val="22"/>
          <w:u w:val="single"/>
        </w:rPr>
        <w:t>Lunes</w:t>
      </w:r>
      <w:r w:rsidR="007C6566">
        <w:rPr>
          <w:b/>
          <w:sz w:val="22"/>
          <w:u w:val="single"/>
        </w:rPr>
        <w:t xml:space="preserve"> </w:t>
      </w:r>
      <w:r w:rsidR="00F03816">
        <w:rPr>
          <w:b/>
          <w:sz w:val="22"/>
          <w:u w:val="single"/>
        </w:rPr>
        <w:t>3</w:t>
      </w:r>
      <w:r w:rsidR="00DC0FCF">
        <w:rPr>
          <w:b/>
          <w:sz w:val="22"/>
          <w:u w:val="single"/>
        </w:rPr>
        <w:t xml:space="preserve"> de </w:t>
      </w:r>
      <w:r w:rsidR="00F03816">
        <w:rPr>
          <w:b/>
          <w:sz w:val="22"/>
          <w:u w:val="single"/>
        </w:rPr>
        <w:t>Mayo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981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19"/>
        <w:gridCol w:w="3544"/>
      </w:tblGrid>
      <w:tr w:rsidR="000F0CB6" w:rsidRPr="00446335" w:rsidTr="000F0CB6">
        <w:trPr>
          <w:trHeight w:val="2661"/>
        </w:trPr>
        <w:tc>
          <w:tcPr>
            <w:tcW w:w="3147" w:type="dxa"/>
            <w:shd w:val="clear" w:color="auto" w:fill="auto"/>
          </w:tcPr>
          <w:p w:rsidR="000F0CB6" w:rsidRPr="00446335" w:rsidRDefault="000F0CB6"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004369E9">
              <w:rPr>
                <w:rFonts w:ascii="Arial" w:hAnsi="Arial"/>
                <w:b/>
                <w:sz w:val="22"/>
                <w:szCs w:val="22"/>
              </w:rPr>
              <w:t xml:space="preserve"> </w:t>
            </w:r>
            <w:r>
              <w:rPr>
                <w:rFonts w:ascii="Arial" w:hAnsi="Arial"/>
                <w:b/>
                <w:sz w:val="22"/>
                <w:szCs w:val="22"/>
              </w:rPr>
              <w:t>1</w:t>
            </w:r>
            <w:r w:rsidRPr="00446335">
              <w:rPr>
                <w:rFonts w:ascii="Arial" w:hAnsi="Arial"/>
                <w:b/>
                <w:sz w:val="22"/>
                <w:szCs w:val="22"/>
              </w:rPr>
              <w:tab/>
            </w:r>
          </w:p>
          <w:p w:rsidR="000F0CB6" w:rsidRPr="00446335" w:rsidRDefault="000F0CB6" w:rsidP="000F0CB6">
            <w:pPr>
              <w:tabs>
                <w:tab w:val="left" w:pos="1134"/>
                <w:tab w:val="right" w:pos="4111"/>
                <w:tab w:val="left" w:pos="5529"/>
                <w:tab w:val="right" w:pos="7938"/>
              </w:tabs>
              <w:rPr>
                <w:rFonts w:ascii="Arial" w:hAnsi="Arial"/>
                <w:b/>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BD4472"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c</w:t>
            </w:r>
            <w:r w:rsidRPr="00446335">
              <w:rPr>
                <w:rFonts w:ascii="Arial" w:hAnsi="Arial"/>
                <w:sz w:val="22"/>
                <w:szCs w:val="22"/>
              </w:rPr>
              <w:t xml:space="preserve">olaborativos </w:t>
            </w:r>
            <w:r w:rsidR="00BD4472">
              <w:rPr>
                <w:rFonts w:ascii="Arial" w:hAnsi="Arial"/>
                <w:sz w:val="22"/>
                <w:szCs w:val="22"/>
              </w:rPr>
              <w:t xml:space="preserve"> </w:t>
            </w:r>
          </w:p>
          <w:p w:rsidR="000F0CB6" w:rsidRPr="00446335"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o individuales</w:t>
            </w:r>
          </w:p>
        </w:tc>
        <w:tc>
          <w:tcPr>
            <w:tcW w:w="3119" w:type="dxa"/>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 xml:space="preserve">Evaluación </w:t>
            </w:r>
            <w:r w:rsidR="004369E9">
              <w:rPr>
                <w:rFonts w:ascii="Arial" w:hAnsi="Arial"/>
                <w:b/>
                <w:sz w:val="22"/>
                <w:szCs w:val="22"/>
              </w:rPr>
              <w:t>Parcial 2</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rsidR="000F0CB6" w:rsidRPr="00446335"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Ejer</w:t>
            </w:r>
            <w:r>
              <w:rPr>
                <w:rFonts w:ascii="Arial" w:hAnsi="Arial"/>
                <w:sz w:val="22"/>
                <w:szCs w:val="22"/>
              </w:rPr>
              <w:t>cicios individuales</w:t>
            </w:r>
          </w:p>
        </w:tc>
        <w:tc>
          <w:tcPr>
            <w:tcW w:w="3544" w:type="dxa"/>
            <w:shd w:val="clear" w:color="auto" w:fill="auto"/>
          </w:tcPr>
          <w:p w:rsidR="000F0CB6" w:rsidRPr="00446335" w:rsidRDefault="000F0CB6"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0F0CB6" w:rsidRPr="00446335" w:rsidRDefault="000F0CB6" w:rsidP="000F0CB6">
            <w:pPr>
              <w:tabs>
                <w:tab w:val="left" w:pos="1134"/>
                <w:tab w:val="left" w:pos="3402"/>
                <w:tab w:val="left" w:pos="5529"/>
                <w:tab w:val="right" w:pos="8789"/>
              </w:tabs>
              <w:rPr>
                <w:rFonts w:ascii="Arial" w:hAnsi="Arial"/>
                <w:sz w:val="22"/>
                <w:szCs w:val="22"/>
              </w:rPr>
            </w:pP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BD4472">
              <w:rPr>
                <w:rFonts w:ascii="Arial" w:hAnsi="Arial"/>
                <w:sz w:val="22"/>
                <w:szCs w:val="22"/>
              </w:rPr>
              <w:t>5</w:t>
            </w:r>
            <w:r>
              <w:rPr>
                <w:rFonts w:ascii="Arial" w:hAnsi="Arial"/>
                <w:sz w:val="22"/>
                <w:szCs w:val="22"/>
              </w:rPr>
              <w:t>%   Parciales (2)</w:t>
            </w:r>
          </w:p>
          <w:p w:rsidR="000F0CB6" w:rsidRDefault="000F0CB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0F0CB6" w:rsidRDefault="00BD4472"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Examen final</w:t>
            </w:r>
          </w:p>
          <w:p w:rsidR="000F0CB6" w:rsidRDefault="00F03816"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0F0CB6" w:rsidRPr="00446335">
              <w:rPr>
                <w:rFonts w:ascii="Arial" w:hAnsi="Arial"/>
                <w:sz w:val="22"/>
                <w:szCs w:val="22"/>
              </w:rPr>
              <w:t xml:space="preserve">%  </w:t>
            </w:r>
            <w:r w:rsidR="000F0CB6">
              <w:rPr>
                <w:rFonts w:ascii="Arial" w:hAnsi="Arial"/>
                <w:sz w:val="22"/>
                <w:szCs w:val="22"/>
              </w:rPr>
              <w:t xml:space="preserve"> </w:t>
            </w:r>
            <w:r w:rsidR="000F0CB6" w:rsidRPr="00446335">
              <w:rPr>
                <w:rFonts w:ascii="Arial" w:hAnsi="Arial"/>
                <w:sz w:val="22"/>
                <w:szCs w:val="22"/>
              </w:rPr>
              <w:t>Proyecto final</w:t>
            </w:r>
          </w:p>
          <w:p w:rsidR="00225AE1" w:rsidRPr="00446335" w:rsidRDefault="000F0CB6"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p>
        </w:tc>
      </w:tr>
      <w:bookmarkEnd w:id="2"/>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F03816" w:rsidRPr="00E429E7" w:rsidRDefault="00F03816" w:rsidP="00F03816">
      <w:pPr>
        <w:pStyle w:val="Textoindependiente"/>
        <w:spacing w:line="360" w:lineRule="exact"/>
        <w:rPr>
          <w:color w:val="3B3838"/>
          <w:sz w:val="22"/>
          <w:szCs w:val="22"/>
        </w:rPr>
      </w:pPr>
      <w:r w:rsidRPr="00E429E7">
        <w:rPr>
          <w:color w:val="3B3838"/>
          <w:sz w:val="22"/>
          <w:szCs w:val="22"/>
        </w:rPr>
        <w:t>Para la presentación de los exámenes rápidos, parcial e integrador se necesitará:</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proofErr w:type="gramStart"/>
      <w:r w:rsidRPr="00E429E7">
        <w:rPr>
          <w:b/>
          <w:bCs/>
          <w:color w:val="3B3838"/>
          <w:sz w:val="22"/>
          <w:szCs w:val="22"/>
        </w:rPr>
        <w:t>Zoom</w:t>
      </w:r>
      <w:proofErr w:type="gramEnd"/>
      <w:r w:rsidRPr="00E429E7">
        <w:rPr>
          <w:color w:val="3B3838"/>
          <w:sz w:val="22"/>
          <w:szCs w:val="22"/>
        </w:rPr>
        <w:t xml:space="preserve"> en su celular, ya que su celular funcionará como cámara mientras contestan su examen y también se resolverán dudas por este medio.</w:t>
      </w:r>
    </w:p>
    <w:p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w:t>
      </w:r>
      <w:proofErr w:type="gramStart"/>
      <w:r>
        <w:rPr>
          <w:sz w:val="22"/>
          <w:lang w:val="es-MX"/>
        </w:rPr>
        <w:t>Zoom</w:t>
      </w:r>
      <w:proofErr w:type="gramEnd"/>
      <w:r>
        <w:rPr>
          <w:sz w:val="22"/>
          <w:lang w:val="es-MX"/>
        </w:rPr>
        <w:t xml:space="preserve">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bookmarkEnd w:id="3"/>
    <w:p w:rsidR="00455D9B" w:rsidRDefault="00455D9B"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rsidR="00D566B5" w:rsidRPr="00024B60" w:rsidRDefault="00D566B5" w:rsidP="00D566B5">
      <w:pPr>
        <w:spacing w:line="280" w:lineRule="exact"/>
        <w:jc w:val="both"/>
        <w:rPr>
          <w:rFonts w:ascii="Arial" w:hAnsi="Arial"/>
          <w:b/>
          <w14:shadow w14:blurRad="50800" w14:dist="38100" w14:dir="2700000" w14:sx="100000" w14:sy="100000" w14:kx="0" w14:ky="0" w14:algn="tl">
            <w14:srgbClr w14:val="000000">
              <w14:alpha w14:val="60000"/>
            </w14:srgbClr>
          </w14:shadow>
        </w:rPr>
      </w:pPr>
    </w:p>
    <w:p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EE5" w:rsidRDefault="00982EE5">
      <w:r>
        <w:separator/>
      </w:r>
    </w:p>
  </w:endnote>
  <w:endnote w:type="continuationSeparator" w:id="0">
    <w:p w:rsidR="00982EE5" w:rsidRDefault="0098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EE5" w:rsidRDefault="00982EE5">
      <w:r>
        <w:separator/>
      </w:r>
    </w:p>
  </w:footnote>
  <w:footnote w:type="continuationSeparator" w:id="0">
    <w:p w:rsidR="00982EE5" w:rsidRDefault="00982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74002"/>
    <w:rsid w:val="00182CA4"/>
    <w:rsid w:val="001A63C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3E6D"/>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366D"/>
    <w:rsid w:val="008D4D89"/>
    <w:rsid w:val="008E54B0"/>
    <w:rsid w:val="008F0812"/>
    <w:rsid w:val="008F0D19"/>
    <w:rsid w:val="008F276D"/>
    <w:rsid w:val="0091277A"/>
    <w:rsid w:val="00913E50"/>
    <w:rsid w:val="00932C1F"/>
    <w:rsid w:val="009343CA"/>
    <w:rsid w:val="009378E7"/>
    <w:rsid w:val="00947A0A"/>
    <w:rsid w:val="00982EE5"/>
    <w:rsid w:val="00983937"/>
    <w:rsid w:val="00997F38"/>
    <w:rsid w:val="009B2527"/>
    <w:rsid w:val="009C39E5"/>
    <w:rsid w:val="009C7C80"/>
    <w:rsid w:val="009E1FF7"/>
    <w:rsid w:val="009F6825"/>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566B5"/>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9114C"/>
    <w:rsid w:val="00EA3BEE"/>
    <w:rsid w:val="00EC21BB"/>
    <w:rsid w:val="00EC6ACB"/>
    <w:rsid w:val="00EC79AE"/>
    <w:rsid w:val="00EF05BA"/>
    <w:rsid w:val="00EF27A0"/>
    <w:rsid w:val="00F03816"/>
    <w:rsid w:val="00F11D30"/>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CA563"/>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2</cp:revision>
  <cp:lastPrinted>2020-02-10T15:45:00Z</cp:lastPrinted>
  <dcterms:created xsi:type="dcterms:W3CDTF">2021-01-05T22:26:00Z</dcterms:created>
  <dcterms:modified xsi:type="dcterms:W3CDTF">2021-01-05T22:26:00Z</dcterms:modified>
</cp:coreProperties>
</file>