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DEPARTAMENTO DE SISTEMAS COMPUTACIONALES</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1D2568">
        <w:rPr>
          <w:rFonts w:ascii="Tahoma" w:hAnsi="Tahoma" w:cs="Tahoma"/>
          <w:bCs/>
          <w:szCs w:val="22"/>
        </w:rPr>
        <w:t>Enero</w:t>
      </w:r>
      <w:r w:rsidR="00E3453A">
        <w:rPr>
          <w:rFonts w:ascii="Tahoma" w:hAnsi="Tahoma" w:cs="Tahoma"/>
          <w:bCs/>
          <w:szCs w:val="22"/>
        </w:rPr>
        <w:t xml:space="preserve"> – </w:t>
      </w:r>
      <w:r w:rsidR="001D2568">
        <w:rPr>
          <w:rFonts w:ascii="Tahoma" w:hAnsi="Tahoma" w:cs="Tahoma"/>
          <w:bCs/>
          <w:szCs w:val="22"/>
        </w:rPr>
        <w:t>Mayo</w:t>
      </w:r>
      <w:r w:rsidR="00E3453A">
        <w:rPr>
          <w:rFonts w:ascii="Tahoma" w:hAnsi="Tahoma" w:cs="Tahoma"/>
          <w:bCs/>
          <w:szCs w:val="22"/>
        </w:rPr>
        <w:t xml:space="preserve"> </w:t>
      </w:r>
      <w:r w:rsidRPr="00C5327A">
        <w:rPr>
          <w:rFonts w:ascii="Tahoma" w:hAnsi="Tahoma" w:cs="Tahoma"/>
          <w:bCs/>
          <w:szCs w:val="22"/>
        </w:rPr>
        <w:t>201</w:t>
      </w:r>
      <w:r w:rsidR="001D2568">
        <w:rPr>
          <w:rFonts w:ascii="Tahoma" w:hAnsi="Tahoma" w:cs="Tahoma"/>
          <w:bCs/>
          <w:szCs w:val="22"/>
        </w:rPr>
        <w:t>6</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932C1F">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5245"/>
          <w:tab w:val="left" w:pos="5670"/>
          <w:tab w:val="left" w:pos="6379"/>
          <w:tab w:val="right" w:pos="9498"/>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erezf@itesm.mx                .</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2005</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744A6F" w:rsidRPr="00E3453A" w:rsidRDefault="00C5327A" w:rsidP="00744A6F">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Pr="00744A6F">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p>
    <w:p w:rsidR="00C5327A" w:rsidRDefault="00C5327A" w:rsidP="00A60B40">
      <w:pPr>
        <w:tabs>
          <w:tab w:val="left" w:pos="2552"/>
          <w:tab w:val="left" w:pos="5245"/>
          <w:tab w:val="left" w:pos="5670"/>
          <w:tab w:val="left" w:pos="6379"/>
          <w:tab w:val="right" w:pos="9498"/>
        </w:tabs>
        <w:spacing w:before="60" w:line="360" w:lineRule="auto"/>
        <w:rPr>
          <w:rFonts w:ascii="Arial" w:hAnsi="Arial"/>
          <w:sz w:val="22"/>
          <w:u w:val="single"/>
        </w:rPr>
      </w:pPr>
      <w:r>
        <w:rPr>
          <w:rFonts w:ascii="Arial" w:hAnsi="Arial"/>
          <w:b/>
          <w:sz w:val="22"/>
        </w:rPr>
        <w:t xml:space="preserve">Ubicación: </w:t>
      </w:r>
      <w:r>
        <w:rPr>
          <w:rFonts w:ascii="Arial" w:hAnsi="Arial"/>
          <w:sz w:val="22"/>
          <w:u w:val="single"/>
        </w:rPr>
        <w:t xml:space="preserve">  Edificio 2, 3er piso. </w:t>
      </w:r>
      <w:r w:rsidR="003D3B84">
        <w:rPr>
          <w:rFonts w:ascii="Arial" w:hAnsi="Arial"/>
          <w:sz w:val="22"/>
          <w:u w:val="single"/>
        </w:rPr>
        <w:t>Escuela de Tecnologías de Información y Electrónica</w:t>
      </w:r>
      <w:r w:rsidR="00744A6F">
        <w:rPr>
          <w:rFonts w:ascii="Arial" w:hAnsi="Arial"/>
          <w:sz w:val="22"/>
          <w:u w:val="single"/>
        </w:rPr>
        <w:t xml:space="preserve">            </w:t>
      </w:r>
      <w:r>
        <w:rPr>
          <w:rFonts w:ascii="Arial" w:hAnsi="Arial"/>
          <w:sz w:val="22"/>
          <w:u w:val="single"/>
        </w:rPr>
        <w:t xml:space="preserve">      .</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EC6ACB">
        <w:rPr>
          <w:sz w:val="22"/>
          <w:u w:val="single"/>
        </w:rPr>
        <w:t>Jueves 18</w:t>
      </w:r>
      <w:r w:rsidR="00CC564F">
        <w:rPr>
          <w:sz w:val="22"/>
          <w:u w:val="single"/>
        </w:rPr>
        <w:t xml:space="preserve"> de </w:t>
      </w:r>
      <w:r w:rsidR="00EC6ACB">
        <w:rPr>
          <w:sz w:val="22"/>
          <w:u w:val="single"/>
        </w:rPr>
        <w:t>Febrero</w:t>
      </w:r>
    </w:p>
    <w:p w:rsidR="00C154FF" w:rsidRDefault="00C154FF">
      <w:pPr>
        <w:pStyle w:val="Textoindependiente"/>
        <w:spacing w:line="240" w:lineRule="auto"/>
        <w:rPr>
          <w:sz w:val="22"/>
        </w:rPr>
      </w:pPr>
      <w:r>
        <w:rPr>
          <w:sz w:val="22"/>
        </w:rPr>
        <w:t xml:space="preserve">2do. Parcial: </w:t>
      </w:r>
      <w:r w:rsidR="00EC6ACB">
        <w:rPr>
          <w:sz w:val="22"/>
          <w:u w:val="single"/>
        </w:rPr>
        <w:t xml:space="preserve">Lunes 7 </w:t>
      </w:r>
      <w:r w:rsidR="00CC564F">
        <w:rPr>
          <w:sz w:val="22"/>
          <w:u w:val="single"/>
        </w:rPr>
        <w:t xml:space="preserve">de </w:t>
      </w:r>
      <w:r w:rsidR="00EC6ACB">
        <w:rPr>
          <w:sz w:val="22"/>
          <w:u w:val="single"/>
        </w:rPr>
        <w:t>Marzo</w:t>
      </w:r>
      <w:r w:rsidR="00A60B40">
        <w:rPr>
          <w:sz w:val="22"/>
          <w:u w:val="single"/>
        </w:rPr>
        <w:t xml:space="preserve"> y </w:t>
      </w:r>
      <w:r w:rsidR="00E22E07">
        <w:rPr>
          <w:sz w:val="22"/>
          <w:u w:val="single"/>
        </w:rPr>
        <w:t xml:space="preserve">Jueves </w:t>
      </w:r>
      <w:r w:rsidR="00F84131">
        <w:rPr>
          <w:sz w:val="22"/>
          <w:u w:val="single"/>
        </w:rPr>
        <w:t>7</w:t>
      </w:r>
      <w:r w:rsidR="00E22E07">
        <w:rPr>
          <w:sz w:val="22"/>
          <w:u w:val="single"/>
        </w:rPr>
        <w:t xml:space="preserve"> de </w:t>
      </w:r>
      <w:r w:rsidR="00F84131">
        <w:rPr>
          <w:sz w:val="22"/>
          <w:u w:val="single"/>
        </w:rPr>
        <w:t>Abril</w:t>
      </w:r>
      <w:bookmarkStart w:id="0" w:name="_GoBack"/>
      <w:bookmarkEnd w:id="0"/>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  Parciales (2)</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Actividades último periodo</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Proyecto final</w:t>
            </w:r>
          </w:p>
          <w:p w:rsidR="00CC564F" w:rsidRPr="00446335" w:rsidRDefault="00EC6ACB"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00CC564F" w:rsidRPr="00446335">
              <w:rPr>
                <w:rFonts w:ascii="Arial" w:hAnsi="Arial"/>
                <w:sz w:val="22"/>
                <w:szCs w:val="22"/>
              </w:rPr>
              <w:t>%  Taller de Redes</w:t>
            </w:r>
            <w:r w:rsidR="00CC564F">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Las calificaciones parciales y final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bebidas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La deshonestidad académica, como la copia y el plagio parcial o total, es considerada una falta grave.  Los casos serán examinados por un comité formado por 2 profesores del departamento y el director de carrera correspondiente.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412BB6">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3965A8">
        <w:rPr>
          <w:b/>
          <w:bCs/>
          <w:sz w:val="22"/>
        </w:rPr>
        <w:t>4</w:t>
      </w:r>
      <w:r w:rsidR="00932C1F">
        <w:rPr>
          <w:b/>
          <w:bCs/>
          <w:sz w:val="22"/>
        </w:rPr>
        <w:t xml:space="preserve"> de </w:t>
      </w:r>
      <w:r w:rsidR="003965A8">
        <w:rPr>
          <w:b/>
          <w:bCs/>
          <w:sz w:val="22"/>
        </w:rPr>
        <w:t>Marzo</w:t>
      </w:r>
      <w:r>
        <w:rPr>
          <w:sz w:val="22"/>
        </w:rPr>
        <w:t>, ya que según reglamento no podrás hacerlo después de ésta fecha.</w:t>
      </w:r>
    </w:p>
    <w:p w:rsidR="003974FB" w:rsidRPr="00DB7DE3" w:rsidRDefault="00C73FCC" w:rsidP="000A30E9">
      <w:pPr>
        <w:spacing w:line="28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Pr>
          <w:sz w:val="22"/>
        </w:rPr>
        <w:br w:type="page"/>
      </w:r>
      <w:r w:rsidR="003974FB"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Objetivos Generales: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pStyle w:val="Textoindependiente"/>
        <w:spacing w:before="0" w:line="340" w:lineRule="exact"/>
        <w:rPr>
          <w:szCs w:val="24"/>
        </w:rPr>
      </w:pPr>
      <w:r w:rsidRPr="001F0118">
        <w:rPr>
          <w:szCs w:val="24"/>
        </w:rPr>
        <w:t>Al finalizar el curso, con base en el análisis y evaluación de las distintas alternativas de Redes el alumno será capaz de:</w:t>
      </w:r>
    </w:p>
    <w:p w:rsidR="003974FB" w:rsidRPr="001F0118" w:rsidRDefault="003974FB" w:rsidP="001F0118">
      <w:pPr>
        <w:pStyle w:val="Textoindependiente"/>
        <w:spacing w:before="0" w:line="340" w:lineRule="exact"/>
        <w:rPr>
          <w:szCs w:val="24"/>
        </w:rPr>
      </w:pP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Seleccionar aquella Red de datos, con base en el trabajo individual y en equipo de manera crítica y responsable, que mejor satisfaga las necesidades para aplicaciones particulares.</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Proponer soluciones generales de interconexión de equipo heterogéneo analizando el resultado de su trabajo con el de sus compañeros, destacando los aciertos y semejanzas, y señalando -de manera respetuosa- las diferencias con la finalidad de alcanzar altos estándares internacionales de calidad.</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Identificar las tendencias de las Redes de Datos, los estándares y las características que éstos ofrecen al usuario.</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Analizar los estándares, las arquitecturas, los protocolos de comunicaciones, las técnicas de detección de errores, las técnicas de control de flujo y las características que éstos ofrecen al usuario en los sistemas de comunicación de datos.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spacing w:line="340" w:lineRule="exact"/>
        <w:jc w:val="both"/>
        <w:rPr>
          <w:sz w:val="24"/>
          <w:szCs w:val="24"/>
        </w:rPr>
      </w:pPr>
    </w:p>
    <w:p w:rsidR="00EF27A0" w:rsidRPr="00DB7DE3" w:rsidRDefault="00EF27A0"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 xml:space="preserve">Bibliografía del Curso: </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generados para este curso son un complemento importante de tus notas personales más no sustituyen tu asistencia a clase ni limitan la búsqueda de otro material que amplíe tu horizonte cultural, así como tu horizonte de conocimientos en la materia.</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de este curso están disponibles en cada una de las semanas y los puedes acceder durante todo el semestre.</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Entre las fuentes bibliográficas que se utilizarán a lo largo de este curso se encuentran los siguientes libros:</w:t>
      </w:r>
    </w:p>
    <w:p w:rsidR="00EF27A0" w:rsidRPr="001F0118" w:rsidRDefault="00EF27A0" w:rsidP="001F0118">
      <w:pPr>
        <w:pStyle w:val="Textoindependiente"/>
        <w:spacing w:before="0" w:line="340" w:lineRule="exact"/>
        <w:rPr>
          <w:szCs w:val="24"/>
        </w:rPr>
      </w:pP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Local Area Networks; Gerd E. Keiser; Mc Graw Hill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Computer Networks; Andrew S. Tanenbaum; Prentice Hall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Networks, An Introduction;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Introduction to Signals and Systems; Simon Haykin; Wiley</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Data and Computer Communications;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and Metropolitan Area Networks;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Business Data Communications; William Stallings, Richard van Slyke; Prentice Hall</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Business Data Communications; David A. Stamper; The Benjamin/Cummings Publishing Company, Inc.</w:t>
      </w:r>
    </w:p>
    <w:p w:rsidR="001B0768" w:rsidRPr="00DB7DE3" w:rsidRDefault="00EF27A0" w:rsidP="001B076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327A94">
        <w:rPr>
          <w:sz w:val="24"/>
          <w:szCs w:val="24"/>
          <w:lang w:val="es-MX"/>
        </w:rPr>
        <w:br w:type="page"/>
      </w:r>
      <w:r w:rsidR="001B0768"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Código de Ética:</w:t>
      </w:r>
    </w:p>
    <w:p w:rsidR="00EF27A0" w:rsidRPr="001F0118" w:rsidRDefault="00EF27A0" w:rsidP="001F0118">
      <w:pPr>
        <w:spacing w:line="340" w:lineRule="exact"/>
        <w:jc w:val="both"/>
        <w:rPr>
          <w:rFonts w:ascii="Arial" w:hAnsi="Arial"/>
          <w:snapToGrid w:val="0"/>
          <w:color w:val="000000"/>
          <w:sz w:val="24"/>
          <w:szCs w:val="24"/>
        </w:rPr>
      </w:pPr>
    </w:p>
    <w:p w:rsidR="00EF27A0" w:rsidRPr="001F0118" w:rsidRDefault="00EF27A0" w:rsidP="001F0118">
      <w:pPr>
        <w:pStyle w:val="Textoindependiente"/>
        <w:spacing w:before="0" w:line="340" w:lineRule="exact"/>
        <w:rPr>
          <w:szCs w:val="24"/>
        </w:rPr>
      </w:pPr>
      <w:r w:rsidRPr="001F0118">
        <w:rPr>
          <w:szCs w:val="24"/>
        </w:rPr>
        <w:t>Todos los alumnos, así como el profesor de este curso, se comprometen a observar los lineamientos de conducta que a continuación se enuncian:</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Dentro del salón de clases y al utilizar la plataforma</w:t>
      </w:r>
    </w:p>
    <w:p w:rsidR="00EF27A0" w:rsidRPr="001F0118" w:rsidRDefault="00EF27A0" w:rsidP="001F0118">
      <w:pPr>
        <w:pStyle w:val="Textoindependiente"/>
        <w:spacing w:before="0" w:line="340" w:lineRule="exact"/>
        <w:rPr>
          <w:szCs w:val="24"/>
        </w:rPr>
      </w:pPr>
      <w:r w:rsidRPr="001F0118">
        <w:rPr>
          <w:szCs w:val="24"/>
        </w:rPr>
        <w:t>Te invito a respetar el punto de vista de tus compañeros y a escuchar atentamente sus aportaciones que en todo momento enriquecen el contenido de este curso.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Cualquier tipo de discriminación de género, raza, color, creencias o formación profesional no está permitida dentro del Instituto, por lo que te invito a no exteriorizar ninguna de estas manifestaciones que degradan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Te invito a dirigirte de manera respetuosa a todos tus compañeros evitando el uso de lenguaje coloquial que pueda ser considerado como insultante y degrade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Lineamientos generales</w:t>
      </w:r>
    </w:p>
    <w:p w:rsidR="00EF27A0" w:rsidRPr="001F0118" w:rsidRDefault="00EF27A0" w:rsidP="001F0118">
      <w:pPr>
        <w:pStyle w:val="Textoindependiente"/>
        <w:spacing w:before="0" w:line="340" w:lineRule="exact"/>
        <w:rPr>
          <w:szCs w:val="24"/>
        </w:rPr>
      </w:pPr>
      <w:r w:rsidRPr="001F0118">
        <w:rPr>
          <w:szCs w:val="24"/>
        </w:rPr>
        <w:t>Durante las sesiones de laboratorios y trabajo grupal está permitido intercambiar comentarios, información y sugerencias.</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napToGrid w:val="0"/>
          <w:color w:val="000000"/>
          <w:szCs w:val="24"/>
        </w:rPr>
      </w:pPr>
      <w:r w:rsidRPr="001F0118">
        <w:rPr>
          <w:szCs w:val="24"/>
        </w:rPr>
        <w:t>Toda acción de indisciplina será sancionada conforme al reglamento vigente del ITESM-CQ y en caso de reincidencia se remitirá el caso al Comité de Honor y Justicia.</w:t>
      </w:r>
    </w:p>
    <w:p w:rsidR="00EF27A0" w:rsidRPr="001F0118" w:rsidRDefault="00EF27A0" w:rsidP="001F0118">
      <w:pPr>
        <w:pStyle w:val="Textoindependiente3"/>
        <w:spacing w:line="340" w:lineRule="exact"/>
        <w:jc w:val="both"/>
        <w:rPr>
          <w:rFonts w:ascii="Arial" w:hAnsi="Arial"/>
          <w:b/>
          <w:i/>
          <w:sz w:val="24"/>
          <w:szCs w:val="24"/>
        </w:rPr>
      </w:pPr>
    </w:p>
    <w:p w:rsidR="00DA3F0D" w:rsidRPr="00DB7DE3" w:rsidRDefault="00DA3F0D"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Evaluación del Curso:</w:t>
      </w:r>
    </w:p>
    <w:p w:rsidR="00DA3F0D" w:rsidRPr="001F0118" w:rsidRDefault="00DA3F0D" w:rsidP="001F0118">
      <w:pPr>
        <w:spacing w:line="340" w:lineRule="exact"/>
        <w:jc w:val="both"/>
        <w:rPr>
          <w:rFonts w:ascii="Arial" w:hAnsi="Arial"/>
          <w:sz w:val="24"/>
          <w:szCs w:val="24"/>
        </w:rPr>
      </w:pPr>
    </w:p>
    <w:p w:rsidR="00DA3F0D" w:rsidRPr="001F0118" w:rsidRDefault="00DA3F0D" w:rsidP="001F0118">
      <w:pPr>
        <w:pStyle w:val="Textoindependiente"/>
        <w:spacing w:before="0" w:line="340" w:lineRule="exact"/>
        <w:rPr>
          <w:szCs w:val="24"/>
        </w:rPr>
      </w:pPr>
      <w:r w:rsidRPr="001F0118">
        <w:rPr>
          <w:szCs w:val="24"/>
        </w:rPr>
        <w:t>En la evaluación de exámenes, tareas, investigaciones bibliográficas, reportes de laboratorios y proyecto final se tomarán en consideración aspectos como:</w:t>
      </w:r>
    </w:p>
    <w:p w:rsidR="00DA3F0D" w:rsidRPr="001F0118" w:rsidRDefault="00DA3F0D" w:rsidP="001F0118">
      <w:pPr>
        <w:spacing w:line="340" w:lineRule="exact"/>
        <w:jc w:val="both"/>
        <w:rPr>
          <w:rFonts w:ascii="Arial" w:hAnsi="Arial"/>
          <w:snapToGrid w:val="0"/>
          <w:color w:val="000000"/>
          <w:sz w:val="24"/>
          <w:szCs w:val="24"/>
        </w:rPr>
      </w:pP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Buena redacción y el uso debido de la sintaxis en tareas, trabajos, reportes, exámenes y proyecto final en donde el alumno deberá realizar un proceso de síntesis.</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Orden, limpieza y claridad en las tareas, exámenes, reportes de prácticas de laboratorios, proyecto final y en general todo documento que el alumno tenga que redactar.</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Las respuestas a los ejercicios de tarea y exámenes deben expresar que los conceptos se han asimilado y que existe un trabajo analítico por parte del alumno.</w:t>
      </w:r>
    </w:p>
    <w:p w:rsidR="00DA3F0D" w:rsidRPr="001F0118" w:rsidRDefault="00DA3F0D" w:rsidP="001F0118">
      <w:pPr>
        <w:tabs>
          <w:tab w:val="left" w:pos="720"/>
          <w:tab w:val="left" w:pos="1440"/>
          <w:tab w:val="left" w:pos="2160"/>
          <w:tab w:val="left" w:pos="2880"/>
          <w:tab w:val="left" w:pos="3600"/>
          <w:tab w:val="left" w:pos="4320"/>
          <w:tab w:val="left" w:pos="8820"/>
        </w:tabs>
        <w:spacing w:after="120" w:line="340" w:lineRule="exact"/>
        <w:jc w:val="both"/>
        <w:rPr>
          <w:rFonts w:ascii="Arial" w:hAnsi="Arial"/>
          <w:snapToGrid w:val="0"/>
          <w:color w:val="000000"/>
          <w:sz w:val="24"/>
          <w:szCs w:val="24"/>
        </w:rPr>
      </w:pPr>
    </w:p>
    <w:p w:rsidR="00001150" w:rsidRPr="00DB7DE3" w:rsidRDefault="001F0118"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br w:type="page"/>
      </w:r>
      <w:r w:rsidR="00001150"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Técnica didáctica del curso:</w:t>
      </w:r>
    </w:p>
    <w:p w:rsidR="00001150" w:rsidRPr="001F0118" w:rsidRDefault="00001150" w:rsidP="001F0118">
      <w:pPr>
        <w:pStyle w:val="Textoindependiente"/>
        <w:spacing w:line="340" w:lineRule="exact"/>
        <w:rPr>
          <w:szCs w:val="24"/>
        </w:rPr>
      </w:pPr>
    </w:p>
    <w:p w:rsidR="00001150" w:rsidRPr="001F0118" w:rsidRDefault="00001150" w:rsidP="001F0118">
      <w:pPr>
        <w:pStyle w:val="Textoindependiente"/>
        <w:spacing w:before="0" w:line="340" w:lineRule="exact"/>
        <w:rPr>
          <w:szCs w:val="24"/>
        </w:rPr>
      </w:pPr>
      <w:r w:rsidRPr="001F0118">
        <w:rPr>
          <w:szCs w:val="24"/>
        </w:rPr>
        <w:t>La técnica didáctica seleccionada para este curso es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A lo largo del semestre se plantearan actividades dentro del salón de clases:</w:t>
      </w:r>
    </w:p>
    <w:p w:rsidR="00001150" w:rsidRPr="001F0118" w:rsidRDefault="00001150" w:rsidP="001F0118">
      <w:pPr>
        <w:pStyle w:val="Textoindependiente"/>
        <w:spacing w:before="0" w:line="340" w:lineRule="exact"/>
        <w:rPr>
          <w:szCs w:val="24"/>
        </w:rPr>
      </w:pPr>
      <w:r w:rsidRPr="001F0118">
        <w:rPr>
          <w:szCs w:val="24"/>
        </w:rPr>
        <w:t>Exámenes rápidos, tareas y trabajos utilizando la técnica didáctica de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u w:val="single"/>
        </w:rPr>
      </w:pPr>
      <w:r w:rsidRPr="001F0118">
        <w:rPr>
          <w:szCs w:val="24"/>
          <w:u w:val="single"/>
        </w:rPr>
        <w:t>Equipos de Trabajo Colaborativo (TC):</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 xml:space="preserve">Los Equipos de Trabajo Colaborativo serán formados en la primera semana de clases. Estos grupos de trabajo </w:t>
      </w:r>
      <w:r w:rsidR="00C469F7" w:rsidRPr="001F0118">
        <w:rPr>
          <w:szCs w:val="24"/>
        </w:rPr>
        <w:t>t</w:t>
      </w:r>
      <w:r w:rsidRPr="001F0118">
        <w:rPr>
          <w:szCs w:val="24"/>
        </w:rPr>
        <w:t xml:space="preserve">ienen como finalidad compartir y enriquecer el conocimiento a lo largo del semestre. Los integrantes de un grupo de trabajo colaborativo buscan una meta común donde el esfuerzo individual y colectivo está enfocado en el logro de esa meta. Cuando el grupo de trabajo colaborativo alcanza la meta todos sus integrantes también la han alcanzado individualmente </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Con el fin de prepararte para el examen parcial, estudia con tus compañeros del grupo de trabajo colaborativo y el esfuerzo y dedicación será premiado con puntos extras cuando se cumpla alguna de las siguientes condiciones:</w:t>
      </w:r>
    </w:p>
    <w:p w:rsidR="00001150" w:rsidRPr="001F0118" w:rsidRDefault="00001150" w:rsidP="001F0118">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3 puntos extras</w:t>
      </w:r>
      <w:r w:rsidRPr="001F0118">
        <w:rPr>
          <w:szCs w:val="24"/>
        </w:rPr>
        <w:t xml:space="preserve"> para cada integrante del grupo de trabajo colaborativo en el examen parcial si la calificación más baja del grupo es una calificación igual o superior a 93.</w:t>
      </w:r>
    </w:p>
    <w:p w:rsidR="00001150" w:rsidRPr="001F0118" w:rsidRDefault="00001150" w:rsidP="000625EC">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2 puntos extras</w:t>
      </w:r>
      <w:r w:rsidRPr="001F0118">
        <w:rPr>
          <w:szCs w:val="24"/>
        </w:rPr>
        <w:t xml:space="preserve"> para cada integrante del grupo de trabajo colaborativo en el examen parcial si la calificación más baja del grupo es una calificación igual o superior a 88.</w:t>
      </w:r>
    </w:p>
    <w:p w:rsidR="00001150" w:rsidRPr="001F0118" w:rsidRDefault="00001150" w:rsidP="000625EC">
      <w:pPr>
        <w:pStyle w:val="Textoindependiente"/>
        <w:spacing w:before="0" w:line="340" w:lineRule="exact"/>
        <w:rPr>
          <w:szCs w:val="24"/>
        </w:rPr>
      </w:pPr>
    </w:p>
    <w:p w:rsidR="009378E7" w:rsidRDefault="00001150" w:rsidP="000625EC">
      <w:pPr>
        <w:pStyle w:val="Textoindependiente"/>
        <w:numPr>
          <w:ilvl w:val="0"/>
          <w:numId w:val="13"/>
        </w:numPr>
        <w:spacing w:before="0" w:line="340" w:lineRule="exact"/>
        <w:ind w:left="360"/>
        <w:rPr>
          <w:szCs w:val="24"/>
        </w:rPr>
      </w:pPr>
      <w:r w:rsidRPr="000625EC">
        <w:rPr>
          <w:b/>
          <w:szCs w:val="24"/>
        </w:rPr>
        <w:t>1 punto extra</w:t>
      </w:r>
      <w:r w:rsidRPr="001F0118">
        <w:rPr>
          <w:szCs w:val="24"/>
        </w:rPr>
        <w:t xml:space="preserve"> para cada integrante del grupo de trabajo colaborativo en el examen parcial si la calificación más baja del grupo es una calificación igual o superior a 83.</w:t>
      </w:r>
    </w:p>
    <w:p w:rsidR="009378E7" w:rsidRPr="00805256" w:rsidRDefault="009378E7" w:rsidP="009378E7">
      <w:pPr>
        <w:spacing w:line="280" w:lineRule="exact"/>
        <w:jc w:val="center"/>
        <w:rPr>
          <w:rFonts w:ascii="Arial" w:hAnsi="Arial" w:cs="Arial"/>
          <w:b/>
          <w:sz w:val="28"/>
          <w:szCs w:val="28"/>
        </w:rPr>
      </w:pPr>
      <w:r>
        <w:rPr>
          <w:szCs w:val="24"/>
        </w:rPr>
        <w:br w:type="page"/>
      </w:r>
      <w:r w:rsidRPr="00805256">
        <w:rPr>
          <w:rFonts w:ascii="Arial" w:hAnsi="Arial" w:cs="Arial"/>
          <w:b/>
          <w:sz w:val="28"/>
          <w:szCs w:val="28"/>
        </w:rPr>
        <w:lastRenderedPageBreak/>
        <w:t>CAPÍTULO IX</w:t>
      </w:r>
      <w:r w:rsidR="00E22E07">
        <w:rPr>
          <w:rFonts w:ascii="Arial" w:hAnsi="Arial" w:cs="Arial"/>
          <w:b/>
          <w:sz w:val="28"/>
          <w:szCs w:val="28"/>
        </w:rPr>
        <w:t xml:space="preserve">. Deshonestidad </w:t>
      </w:r>
      <w:r w:rsidRPr="00805256">
        <w:rPr>
          <w:rFonts w:ascii="Arial" w:hAnsi="Arial" w:cs="Arial"/>
          <w:b/>
          <w:sz w:val="28"/>
          <w:szCs w:val="28"/>
        </w:rPr>
        <w:t>Académica</w:t>
      </w:r>
    </w:p>
    <w:p w:rsidR="00E22E07"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9.1</w:t>
      </w:r>
      <w:r>
        <w:rPr>
          <w:rFonts w:ascii="Arial" w:hAnsi="Arial" w:cs="Arial"/>
          <w:b/>
        </w:rPr>
        <w:t xml:space="preserve"> </w:t>
      </w:r>
      <w:r w:rsidRPr="002029CA">
        <w:rPr>
          <w:rFonts w:ascii="Arial" w:hAnsi="Arial" w:cs="Arial"/>
        </w:rPr>
        <w:t>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9.2</w:t>
      </w:r>
      <w:r>
        <w:rPr>
          <w:rFonts w:ascii="Arial" w:hAnsi="Arial" w:cs="Arial"/>
          <w:b/>
        </w:rPr>
        <w:t xml:space="preserve"> </w:t>
      </w:r>
      <w:r w:rsidRPr="002029CA">
        <w:rPr>
          <w:rFonts w:ascii="Arial" w:hAnsi="Arial" w:cs="Arial"/>
        </w:rPr>
        <w:t>Cuando el alumno cometa un acto académico deshonesto, su profesor podrá aplicar alguna de las siguientes sanciones, dependiendo de la gravedad de la falta:</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una calificación reprobatoria en la actividad correspondiente en la que cometió la deshonestidad académica y una amonestación verbal.</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parcial correspondiente y enviar una notificación por escrito a la Dirección de Servicios Escolares, así como al Director de la Carrera en que esté inscrito el alumno.</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final del curso y enviar una notificación por escrito a la Dirección de Servicios Escolares, así como al Director de la Carrera en que esté inscrito el alumno.</w:t>
      </w:r>
    </w:p>
    <w:p w:rsidR="00E22E07" w:rsidRPr="002029CA" w:rsidRDefault="00E22E07" w:rsidP="00E22E07">
      <w:pPr>
        <w:spacing w:line="280" w:lineRule="exact"/>
        <w:jc w:val="both"/>
        <w:rPr>
          <w:rFonts w:ascii="Arial" w:hAnsi="Arial" w:cs="Arial"/>
        </w:rPr>
      </w:pPr>
      <w:r w:rsidRPr="002029CA">
        <w:rPr>
          <w:rFonts w:ascii="Arial" w:hAnsi="Arial" w:cs="Arial"/>
        </w:rPr>
        <w:t>El profesor podrá solicitar la conformación de un comité integrado por profesores designado por el Director del Departamento Académico correspondiente para ratificar la asignación de esta calificación.</w:t>
      </w:r>
    </w:p>
    <w:p w:rsidR="00E22E07" w:rsidRPr="002029CA"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9.3</w:t>
      </w:r>
      <w:r>
        <w:rPr>
          <w:rFonts w:ascii="Arial" w:hAnsi="Arial" w:cs="Arial"/>
          <w:b/>
        </w:rPr>
        <w:t xml:space="preserve"> </w:t>
      </w:r>
      <w:r w:rsidRPr="002029CA">
        <w:rPr>
          <w:rFonts w:ascii="Arial" w:hAnsi="Arial" w:cs="Arial"/>
        </w:rPr>
        <w:t>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9.4</w:t>
      </w:r>
      <w:r>
        <w:rPr>
          <w:rFonts w:ascii="Arial" w:hAnsi="Arial" w:cs="Arial"/>
          <w:b/>
        </w:rPr>
        <w:t xml:space="preserve"> </w:t>
      </w:r>
      <w:r w:rsidRPr="002029CA">
        <w:rPr>
          <w:rFonts w:ascii="Arial" w:hAnsi="Arial" w:cs="Arial"/>
        </w:rPr>
        <w:t>Al acumular tres DA en calificaciones parciales o finales el alumno podrá ser separado del Tecnológico de Monterrey de forma definitiva o temporal. Para dicha resolución se formará un comité de acuerdo con lo estipulado en el artículo anterior.</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9.5</w:t>
      </w:r>
      <w:r>
        <w:rPr>
          <w:rFonts w:ascii="Arial" w:hAnsi="Arial" w:cs="Arial"/>
          <w:b/>
        </w:rPr>
        <w:t xml:space="preserve"> </w:t>
      </w:r>
      <w:r w:rsidRPr="002029CA">
        <w:rPr>
          <w:rFonts w:ascii="Arial" w:hAnsi="Arial" w:cs="Arial"/>
        </w:rPr>
        <w:t>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w:t>
      </w:r>
    </w:p>
    <w:p w:rsidR="00E22E07" w:rsidRPr="002029CA" w:rsidRDefault="00E22E07" w:rsidP="00E22E07">
      <w:pPr>
        <w:spacing w:line="280" w:lineRule="exact"/>
        <w:jc w:val="both"/>
        <w:rPr>
          <w:rFonts w:ascii="Arial" w:hAnsi="Arial" w:cs="Arial"/>
        </w:rPr>
      </w:pPr>
    </w:p>
    <w:p w:rsidR="009378E7" w:rsidRDefault="00E22E07" w:rsidP="00E22E07">
      <w:pPr>
        <w:spacing w:line="280" w:lineRule="exact"/>
        <w:jc w:val="both"/>
        <w:rPr>
          <w:rFonts w:ascii="Arial" w:hAnsi="Arial"/>
          <w:sz w:val="22"/>
        </w:rPr>
      </w:pPr>
      <w:r w:rsidRPr="002029CA">
        <w:rPr>
          <w:rFonts w:ascii="Arial" w:hAnsi="Arial" w:cs="Arial"/>
          <w:b/>
        </w:rPr>
        <w:t>Artículo 9.6</w:t>
      </w:r>
      <w:r>
        <w:rPr>
          <w:rFonts w:ascii="Arial" w:hAnsi="Arial" w:cs="Arial"/>
          <w:b/>
        </w:rPr>
        <w:t xml:space="preserve"> </w:t>
      </w:r>
      <w:r w:rsidRPr="002029CA">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w:t>
      </w:r>
      <w:r>
        <w:rPr>
          <w:rFonts w:ascii="Arial" w:hAnsi="Arial" w:cs="Arial"/>
        </w:rPr>
        <w:t xml:space="preserve"> </w:t>
      </w:r>
      <w:r w:rsidRPr="002029CA">
        <w:rPr>
          <w:rFonts w:ascii="Arial" w:hAnsi="Arial" w:cs="Arial"/>
        </w:rPr>
        <w:t>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A3F" w:rsidRDefault="001B4A3F">
      <w:r>
        <w:separator/>
      </w:r>
    </w:p>
  </w:endnote>
  <w:endnote w:type="continuationSeparator" w:id="0">
    <w:p w:rsidR="001B4A3F" w:rsidRDefault="001B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A3F" w:rsidRDefault="001B4A3F">
      <w:r>
        <w:separator/>
      </w:r>
    </w:p>
  </w:footnote>
  <w:footnote w:type="continuationSeparator" w:id="0">
    <w:p w:rsidR="001B4A3F" w:rsidRDefault="001B4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1"/>
  </w:num>
  <w:num w:numId="7">
    <w:abstractNumId w:val="9"/>
  </w:num>
  <w:num w:numId="8">
    <w:abstractNumId w:val="11"/>
  </w:num>
  <w:num w:numId="9">
    <w:abstractNumId w:val="4"/>
  </w:num>
  <w:num w:numId="10">
    <w:abstractNumId w:val="0"/>
  </w:num>
  <w:num w:numId="11">
    <w:abstractNumId w:val="2"/>
  </w:num>
  <w:num w:numId="12">
    <w:abstractNumId w:val="10"/>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45CE3"/>
    <w:rsid w:val="0005188E"/>
    <w:rsid w:val="000625EC"/>
    <w:rsid w:val="000748CF"/>
    <w:rsid w:val="00080E16"/>
    <w:rsid w:val="00090427"/>
    <w:rsid w:val="00095153"/>
    <w:rsid w:val="000A30E9"/>
    <w:rsid w:val="000B1A9A"/>
    <w:rsid w:val="000B7375"/>
    <w:rsid w:val="000E23FA"/>
    <w:rsid w:val="00151CB2"/>
    <w:rsid w:val="00155CAC"/>
    <w:rsid w:val="00174002"/>
    <w:rsid w:val="00182CA4"/>
    <w:rsid w:val="001B0768"/>
    <w:rsid w:val="001B4A3F"/>
    <w:rsid w:val="001B5979"/>
    <w:rsid w:val="001C1451"/>
    <w:rsid w:val="001D2568"/>
    <w:rsid w:val="001F0118"/>
    <w:rsid w:val="002009A4"/>
    <w:rsid w:val="00231581"/>
    <w:rsid w:val="00231AC2"/>
    <w:rsid w:val="002464D9"/>
    <w:rsid w:val="002535F6"/>
    <w:rsid w:val="00260DF9"/>
    <w:rsid w:val="00266F27"/>
    <w:rsid w:val="00286ABB"/>
    <w:rsid w:val="00297565"/>
    <w:rsid w:val="002E3127"/>
    <w:rsid w:val="00305959"/>
    <w:rsid w:val="0031690C"/>
    <w:rsid w:val="00325540"/>
    <w:rsid w:val="00327A94"/>
    <w:rsid w:val="0035352C"/>
    <w:rsid w:val="00362938"/>
    <w:rsid w:val="00373BB7"/>
    <w:rsid w:val="00380126"/>
    <w:rsid w:val="003965A8"/>
    <w:rsid w:val="003974FB"/>
    <w:rsid w:val="003A572A"/>
    <w:rsid w:val="003B5CF3"/>
    <w:rsid w:val="003D3B84"/>
    <w:rsid w:val="003E611B"/>
    <w:rsid w:val="003F4580"/>
    <w:rsid w:val="004079D5"/>
    <w:rsid w:val="00412BB6"/>
    <w:rsid w:val="00441B0F"/>
    <w:rsid w:val="00446335"/>
    <w:rsid w:val="00446D34"/>
    <w:rsid w:val="00460F67"/>
    <w:rsid w:val="004844C2"/>
    <w:rsid w:val="004C15E7"/>
    <w:rsid w:val="004C679A"/>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B6248"/>
    <w:rsid w:val="006D2BAE"/>
    <w:rsid w:val="006D765E"/>
    <w:rsid w:val="006F056B"/>
    <w:rsid w:val="007239B7"/>
    <w:rsid w:val="00725E77"/>
    <w:rsid w:val="00727F6E"/>
    <w:rsid w:val="0073008A"/>
    <w:rsid w:val="00744A6F"/>
    <w:rsid w:val="00756358"/>
    <w:rsid w:val="007616D2"/>
    <w:rsid w:val="00767B4A"/>
    <w:rsid w:val="00784C0F"/>
    <w:rsid w:val="00786F21"/>
    <w:rsid w:val="007A131C"/>
    <w:rsid w:val="007D2A60"/>
    <w:rsid w:val="007D49EF"/>
    <w:rsid w:val="007D4B71"/>
    <w:rsid w:val="007F42BA"/>
    <w:rsid w:val="008171F8"/>
    <w:rsid w:val="00840706"/>
    <w:rsid w:val="00887211"/>
    <w:rsid w:val="00897F94"/>
    <w:rsid w:val="008E54B0"/>
    <w:rsid w:val="0091277A"/>
    <w:rsid w:val="00932C1F"/>
    <w:rsid w:val="009378E7"/>
    <w:rsid w:val="00947A0A"/>
    <w:rsid w:val="009C7C80"/>
    <w:rsid w:val="009E1FF7"/>
    <w:rsid w:val="00A12D07"/>
    <w:rsid w:val="00A1395C"/>
    <w:rsid w:val="00A277B2"/>
    <w:rsid w:val="00A306DB"/>
    <w:rsid w:val="00A41402"/>
    <w:rsid w:val="00A60B40"/>
    <w:rsid w:val="00A6666B"/>
    <w:rsid w:val="00A711DB"/>
    <w:rsid w:val="00A76001"/>
    <w:rsid w:val="00A77A39"/>
    <w:rsid w:val="00AA22F7"/>
    <w:rsid w:val="00AA2E34"/>
    <w:rsid w:val="00AD725B"/>
    <w:rsid w:val="00B35514"/>
    <w:rsid w:val="00B40B77"/>
    <w:rsid w:val="00B46805"/>
    <w:rsid w:val="00B63CC2"/>
    <w:rsid w:val="00B85793"/>
    <w:rsid w:val="00C154FF"/>
    <w:rsid w:val="00C469F7"/>
    <w:rsid w:val="00C5327A"/>
    <w:rsid w:val="00C56933"/>
    <w:rsid w:val="00C61D20"/>
    <w:rsid w:val="00C70603"/>
    <w:rsid w:val="00C73FCC"/>
    <w:rsid w:val="00C86AF6"/>
    <w:rsid w:val="00CA14F5"/>
    <w:rsid w:val="00CB53B3"/>
    <w:rsid w:val="00CC564F"/>
    <w:rsid w:val="00D02E58"/>
    <w:rsid w:val="00D26633"/>
    <w:rsid w:val="00D36636"/>
    <w:rsid w:val="00D51124"/>
    <w:rsid w:val="00D5585F"/>
    <w:rsid w:val="00D73E19"/>
    <w:rsid w:val="00DA1A67"/>
    <w:rsid w:val="00DA3F0D"/>
    <w:rsid w:val="00DB7DE3"/>
    <w:rsid w:val="00DD20E7"/>
    <w:rsid w:val="00DE17AD"/>
    <w:rsid w:val="00E22E07"/>
    <w:rsid w:val="00E23FDE"/>
    <w:rsid w:val="00E25F13"/>
    <w:rsid w:val="00E262A9"/>
    <w:rsid w:val="00E32BFA"/>
    <w:rsid w:val="00E3453A"/>
    <w:rsid w:val="00E71616"/>
    <w:rsid w:val="00E80F12"/>
    <w:rsid w:val="00EC6ACB"/>
    <w:rsid w:val="00EF27A0"/>
    <w:rsid w:val="00F11D30"/>
    <w:rsid w:val="00F16601"/>
    <w:rsid w:val="00F27DE0"/>
    <w:rsid w:val="00F5378E"/>
    <w:rsid w:val="00F71386"/>
    <w:rsid w:val="00F84131"/>
    <w:rsid w:val="00F901DE"/>
    <w:rsid w:val="00F9637C"/>
    <w:rsid w:val="00F96F1D"/>
    <w:rsid w:val="00FA3965"/>
    <w:rsid w:val="00FA7C51"/>
    <w:rsid w:val="00FB0259"/>
    <w:rsid w:val="00FD4A9A"/>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2082</Words>
  <Characters>11454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2015-08-10T15:47:00Z</cp:lastPrinted>
  <dcterms:created xsi:type="dcterms:W3CDTF">2016-01-09T01:21:00Z</dcterms:created>
  <dcterms:modified xsi:type="dcterms:W3CDTF">2016-01-11T20:39:00Z</dcterms:modified>
</cp:coreProperties>
</file>