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98" w:rsidRPr="00C43069" w:rsidRDefault="00F930C8" w:rsidP="00F930C8">
      <w:pPr>
        <w:spacing w:before="24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Pr="00772296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b/>
          <w:color w:val="222222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</w:p>
    <w:p w:rsidR="00F930C8" w:rsidRDefault="00F930C8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  <w:lang w:eastAsia="es-MX"/>
        </w:rPr>
        <w:drawing>
          <wp:inline distT="0" distB="0" distL="0" distR="0">
            <wp:extent cx="5634000" cy="2678400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0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AD3C67" w:rsidRPr="00A93F22" w:rsidRDefault="00AD3C67" w:rsidP="00077967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Examinar los requisitos de la red</w:t>
      </w:r>
    </w:p>
    <w:p w:rsidR="00AD3C67" w:rsidRPr="00AD3C67" w:rsidRDefault="00AD3C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3A1170">
        <w:trPr>
          <w:trHeight w:hRule="exact" w:val="567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(15 conexiones)</w:t>
            </w:r>
          </w:p>
        </w:tc>
        <w:tc>
          <w:tcPr>
            <w:tcW w:w="3118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(20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(30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3A1170">
        <w:trPr>
          <w:trHeight w:hRule="exact" w:val="781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177EE1" w:rsidRPr="00F32805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Salones de otros tamaños como la 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 de alumnos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3A1170">
        <w:trPr>
          <w:trHeight w:hRule="exact" w:val="567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Default="00F55524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2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Salones de clase</w:t>
      </w:r>
      <w:r w:rsidR="00FD7EBB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,</w:t>
      </w:r>
      <w:r w:rsidR="005C0464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salas de juntas</w:t>
      </w:r>
      <w:r w:rsidR="0072239A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y </w:t>
      </w:r>
      <w:r w:rsidR="003A1170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cubículos para trabajo colaborativo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65"/>
        <w:gridCol w:w="3118"/>
        <w:gridCol w:w="2552"/>
      </w:tblGrid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clase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FD7EBB" w:rsidP="003A1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Cubículos </w:t>
            </w:r>
            <w:r w:rsidR="003A117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para trabajo colaborativo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 salitas de asesorías</w:t>
            </w:r>
          </w:p>
        </w:tc>
        <w:tc>
          <w:tcPr>
            <w:tcW w:w="3118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3A1170" w:rsidTr="003A1170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170" w:rsidRPr="00F55524" w:rsidRDefault="003A1170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1170" w:rsidRPr="00F55524" w:rsidRDefault="003A1170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3A1170" w:rsidRPr="00F55524" w:rsidRDefault="003A1170" w:rsidP="00942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Pr="00AD3C67" w:rsidRDefault="00F55524" w:rsidP="008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3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Profesores y administrativos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F55524" w:rsidTr="00AA773C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F55524" w:rsidTr="00AA773C">
        <w:trPr>
          <w:trHeight w:val="284"/>
        </w:trPr>
        <w:tc>
          <w:tcPr>
            <w:tcW w:w="5240" w:type="dxa"/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Espacios para profesores auxiliares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3A1170" w:rsidRDefault="003A1170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3A1170" w:rsidRDefault="003A1170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077967" w:rsidRPr="00AD3C67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4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Servidores</w:t>
      </w:r>
      <w:r w:rsidR="003A1170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e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impresoras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077967" w:rsidTr="00B87A39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077967" w:rsidTr="00B87A39">
        <w:trPr>
          <w:trHeight w:val="284"/>
        </w:trPr>
        <w:tc>
          <w:tcPr>
            <w:tcW w:w="5240" w:type="dxa"/>
            <w:vAlign w:val="center"/>
          </w:tcPr>
          <w:p w:rsidR="00077967" w:rsidRPr="00F32805" w:rsidRDefault="00077967" w:rsidP="00C14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 w:rsidR="00C14AA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4 </w:t>
            </w:r>
            <w:bookmarkStart w:id="0" w:name="_GoBack"/>
            <w:bookmarkEnd w:id="0"/>
            <w:r w:rsidR="006661E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por edificio</w:t>
            </w:r>
            <w:r w:rsidR="00C14AA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mínimo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701" w:type="dxa"/>
            <w:vAlign w:val="center"/>
          </w:tcPr>
          <w:p w:rsidR="00077967" w:rsidRPr="00F55524" w:rsidRDefault="00077967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077967" w:rsidRPr="00F55524" w:rsidRDefault="00077967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B87A39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077967" w:rsidRPr="00F32805" w:rsidRDefault="00077967" w:rsidP="00077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B87A39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077967" w:rsidRPr="00F55524" w:rsidRDefault="00077967" w:rsidP="00B87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AA773C" w:rsidRDefault="00AA773C">
      <w:pPr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br w:type="page"/>
      </w:r>
    </w:p>
    <w:p w:rsidR="00C43069" w:rsidRPr="00AA773C" w:rsidRDefault="00C43069" w:rsidP="00AA773C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772296" w:rsidRDefault="00772296" w:rsidP="00772296">
      <w:pPr>
        <w:pStyle w:val="StepHead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="000A7BD7" w:rsidRPr="00772296">
        <w:rPr>
          <w:sz w:val="20"/>
          <w:szCs w:val="20"/>
        </w:rPr>
        <w:t xml:space="preserve"> </w:t>
      </w:r>
      <w:r w:rsidRPr="00772296">
        <w:rPr>
          <w:sz w:val="20"/>
          <w:szCs w:val="20"/>
        </w:rPr>
        <w:t xml:space="preserve">la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C43069">
      <w:headerReference w:type="default" r:id="rId9"/>
      <w:pgSz w:w="12240" w:h="15840"/>
      <w:pgMar w:top="1276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147" w:rsidRDefault="00340147" w:rsidP="00C43069">
      <w:pPr>
        <w:spacing w:after="0" w:line="240" w:lineRule="auto"/>
      </w:pPr>
      <w:r>
        <w:separator/>
      </w:r>
    </w:p>
  </w:endnote>
  <w:endnote w:type="continuationSeparator" w:id="0">
    <w:p w:rsidR="00340147" w:rsidRDefault="00340147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147" w:rsidRDefault="00340147" w:rsidP="00C43069">
      <w:pPr>
        <w:spacing w:after="0" w:line="240" w:lineRule="auto"/>
      </w:pPr>
      <w:r>
        <w:separator/>
      </w:r>
    </w:p>
  </w:footnote>
  <w:footnote w:type="continuationSeparator" w:id="0">
    <w:p w:rsidR="00340147" w:rsidRDefault="00340147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069" w:rsidRDefault="00C43069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</w:t>
    </w:r>
    <w:r w:rsidRPr="00C43069">
      <w:rPr>
        <w:rFonts w:ascii="Times New Roman" w:hAnsi="Times New Roman" w:cs="Times New Roman"/>
      </w:rPr>
      <w:t>ITESM – Campus Querétaro</w:t>
    </w:r>
  </w:p>
  <w:p w:rsidR="00C43069" w:rsidRDefault="00C430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7967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F406E"/>
    <w:rsid w:val="0030705C"/>
    <w:rsid w:val="00324F74"/>
    <w:rsid w:val="00327DD5"/>
    <w:rsid w:val="0033553D"/>
    <w:rsid w:val="00340147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42A5"/>
    <w:rsid w:val="006D42B6"/>
    <w:rsid w:val="006E259A"/>
    <w:rsid w:val="006E59D2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8305F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61E1"/>
    <w:rsid w:val="00C02BD4"/>
    <w:rsid w:val="00C104DE"/>
    <w:rsid w:val="00C14AAF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831C-B9C9-4C7D-80C3-FE8AF7B27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2016-11-11T15:34:00Z</dcterms:created>
  <dcterms:modified xsi:type="dcterms:W3CDTF">2016-11-11T15:34:00Z</dcterms:modified>
</cp:coreProperties>
</file>