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CED846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752A3B">
        <w:rPr>
          <w:rFonts w:ascii="Arial" w:hAnsi="Arial" w:cs="Arial"/>
          <w:b/>
          <w:sz w:val="28"/>
          <w:szCs w:val="28"/>
        </w:rPr>
        <w:t>Listas de control de acceso (</w:t>
      </w:r>
      <w:proofErr w:type="spellStart"/>
      <w:r w:rsidR="00752A3B">
        <w:rPr>
          <w:rFonts w:ascii="Arial" w:hAnsi="Arial" w:cs="Arial"/>
          <w:b/>
          <w:sz w:val="28"/>
          <w:szCs w:val="28"/>
        </w:rPr>
        <w:t>ACLs</w:t>
      </w:r>
      <w:proofErr w:type="spellEnd"/>
      <w:r w:rsidR="00752A3B">
        <w:rPr>
          <w:rFonts w:ascii="Arial" w:hAnsi="Arial" w:cs="Arial"/>
          <w:b/>
          <w:sz w:val="28"/>
          <w:szCs w:val="28"/>
        </w:rPr>
        <w:t>)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B68A1B0" w14:textId="6F23C15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1586BBA" w14:textId="0216B812" w:rsidR="003059DA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  <w:r w:rsidR="003059DA">
        <w:rPr>
          <w:rFonts w:ascii="Arial" w:hAnsi="Arial" w:cs="Arial"/>
          <w:color w:val="2D3B45"/>
          <w:sz w:val="20"/>
          <w:szCs w:val="20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57C75F4" w14:textId="404721E1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42C5F692" w14:textId="3D941AC6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796917E4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lastRenderedPageBreak/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6F0CDBEC" w14:textId="50E4316B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5B5DCD04" w14:textId="6ED98C28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495F912A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50D8B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1C367253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71C386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C3B421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58E23F69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4E3DF3F6" w14:textId="77777777" w:rsidR="008C284B" w:rsidRPr="008B552C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39C4F763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45374B2" w14:textId="77777777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32E182F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A629C6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C261D29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39A3E8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lastRenderedPageBreak/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FDEECC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62F6E4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619BCE4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144EFD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80DAB4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F32C7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9FD3A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F7D21F8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8D1F0D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42A067" w14:textId="77777777" w:rsidR="00D650E4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D650E4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2018-09-04T16:53:00Z</cp:lastPrinted>
  <dcterms:created xsi:type="dcterms:W3CDTF">2023-03-12T23:48:00Z</dcterms:created>
  <dcterms:modified xsi:type="dcterms:W3CDTF">2023-03-30T14:42:00Z</dcterms:modified>
</cp:coreProperties>
</file>