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3C892021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09FFAE5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2BC776EF">
                <wp:simplePos x="0" y="0"/>
                <wp:positionH relativeFrom="margin">
                  <wp:posOffset>3263830</wp:posOffset>
                </wp:positionH>
                <wp:positionV relativeFrom="paragraph">
                  <wp:posOffset>1227881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Cuadro de texto 2" o:spid="_x0000_s1027" type="#_x0000_t202" style="position:absolute;left:0;text-align:left;margin-left:257pt;margin-top:96.7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bFg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68463063">
                <wp:simplePos x="0" y="0"/>
                <wp:positionH relativeFrom="column">
                  <wp:posOffset>-385920</wp:posOffset>
                </wp:positionH>
                <wp:positionV relativeFrom="paragraph">
                  <wp:posOffset>1148541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28" type="#_x0000_t202" style="position:absolute;left:0;text-align:left;margin-left:-30.4pt;margin-top:90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4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2B63">
        <w:rPr>
          <w:noProof/>
        </w:rPr>
        <w:t xml:space="preserve"> </w:t>
      </w:r>
      <w:r w:rsidRPr="008C2B63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6E5D99EE" wp14:editId="4080585E">
            <wp:extent cx="6501284" cy="2993944"/>
            <wp:effectExtent l="0" t="0" r="0" b="0"/>
            <wp:docPr id="143981843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8436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0949" cy="29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16CAEB10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4B02E7" w14:textId="77777777" w:rsidR="00F11908" w:rsidRPr="00EB4DFE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El </w:t>
      </w:r>
      <w:r w:rsidRPr="00EB4DFE">
        <w:rPr>
          <w:rFonts w:ascii="Arial" w:eastAsia="Arial Narrow" w:hAnsi="Arial" w:cs="Arial"/>
          <w:b/>
          <w:bCs/>
          <w:spacing w:val="-2"/>
          <w:sz w:val="20"/>
          <w:szCs w:val="20"/>
        </w:rPr>
        <w:t>Protocolo de configuración dinámica de host (DHCP)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6EAAB796" w:rsidR="00F11908" w:rsidRPr="00EB4DFE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>En este escenario, la empresa ha crecido en tamaño y los administradores de red ya no pueden asignar direcciones IP a los dispositivos manualmente. Su trabajo es configurar el ruteador R1 para asignar direcciones IPv4 en dos subredes diferentes conectadas al ruteador.</w:t>
      </w: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</w:t>
      </w:r>
      <w:proofErr w:type="gramStart"/>
      <w:r w:rsidRPr="00EB4DFE">
        <w:rPr>
          <w:rFonts w:ascii="Arial" w:hAnsi="Arial" w:cs="Arial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z w:val="20"/>
          <w:szCs w:val="20"/>
        </w:rPr>
        <w:t xml:space="preserve">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16F6884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A095112" w14:textId="7277CD18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7903FC57" w14:textId="28F481BB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7219A9B" w14:textId="77777777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proofErr w:type="spellEnd"/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070ECA9A" w14:textId="24066BE9" w:rsidR="008F76DE" w:rsidRDefault="008F76DE" w:rsidP="008F76DE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 w:rsidRPr="00EB4DFE">
        <w:rPr>
          <w:rFonts w:cs="Arial"/>
          <w:b/>
          <w:bCs/>
          <w:sz w:val="20"/>
          <w:szCs w:val="20"/>
        </w:rPr>
        <w:t>Ejer</w:t>
      </w:r>
      <w:r w:rsidR="00E8080B" w:rsidRPr="00EB4DFE">
        <w:rPr>
          <w:rFonts w:cs="Arial"/>
          <w:b/>
          <w:bCs/>
          <w:sz w:val="20"/>
          <w:szCs w:val="20"/>
        </w:rPr>
        <w:t>5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2566824B" w14:textId="77777777" w:rsidR="00EB4DFE" w:rsidRPr="00EB4DFE" w:rsidRDefault="00EB4DFE" w:rsidP="008F76DE">
      <w:pPr>
        <w:pStyle w:val="Heading4"/>
        <w:shd w:val="clear" w:color="auto" w:fill="FFFFFF"/>
        <w:spacing w:line="300" w:lineRule="exact"/>
        <w:jc w:val="both"/>
        <w:rPr>
          <w:rFonts w:cs="Arial"/>
          <w:i/>
          <w:iCs/>
          <w:color w:val="000000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configuración del </w:t>
      </w:r>
      <w:proofErr w:type="spellStart"/>
      <w:r w:rsidR="00663279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3C9D11A8" w14:textId="34D408DF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0D9E919A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servidores, la IP de los switches y el default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gateway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45651ADE" w14:textId="0AB2CEDF" w:rsidR="007D0ECB" w:rsidRPr="006673FC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Configura el servidor DNS.</w:t>
      </w:r>
    </w:p>
    <w:p w14:paraId="4A11FA78" w14:textId="17475B0B" w:rsidR="00EB4DFE" w:rsidRPr="006673FC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>Habilita el servicio DHCP en todos los equipos terminales.</w:t>
      </w:r>
    </w:p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</w:t>
      </w:r>
      <w:proofErr w:type="gramStart"/>
      <w:r w:rsidRPr="00EB4DFE">
        <w:rPr>
          <w:rFonts w:ascii="Arial" w:hAnsi="Arial" w:cs="Arial"/>
          <w:spacing w:val="-1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Loopback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1001D89D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</w:t>
      </w:r>
      <w:r w:rsidRPr="00EB4DFE">
        <w:rPr>
          <w:rFonts w:ascii="Arial" w:hAnsi="Arial" w:cs="Arial"/>
          <w:spacing w:val="-1"/>
          <w:sz w:val="20"/>
          <w:szCs w:val="20"/>
        </w:rPr>
        <w:t>accesos por web a los servidores de empleados, directivos, Google y DNS utilizando su dirección IP.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0CE1E66" w14:textId="7E70E3BA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DD4B02" w14:textId="03937B73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F39796" w14:textId="5B0B20CB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0C63E97" w14:textId="105BED84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9773E32" w14:textId="0C8BA182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proofErr w:type="spellStart"/>
      <w:r w:rsidRPr="00EB4DFE">
        <w:rPr>
          <w:rFonts w:cs="Arial"/>
          <w:b/>
          <w:szCs w:val="20"/>
          <w:lang w:val="es-MX"/>
        </w:rPr>
        <w:t>dns</w:t>
      </w:r>
      <w:proofErr w:type="spellEnd"/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6F1CABC4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</w:t>
            </w:r>
            <w:r w:rsidRPr="00EB4DFE">
              <w:rPr>
                <w:rFonts w:cs="Arial"/>
              </w:rPr>
              <w:t>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23C8295A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empleados, directivos, Google y DNS utilizando su </w:t>
      </w:r>
      <w:r w:rsidRPr="00EB4DFE">
        <w:rPr>
          <w:rFonts w:ascii="Arial" w:hAnsi="Arial" w:cs="Arial"/>
          <w:spacing w:val="-1"/>
          <w:sz w:val="20"/>
          <w:szCs w:val="20"/>
        </w:rPr>
        <w:t>nombre de dominio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3FEC" w14:textId="77777777" w:rsidR="00AC5EA0" w:rsidRDefault="00AC5EA0">
      <w:r>
        <w:separator/>
      </w:r>
    </w:p>
  </w:endnote>
  <w:endnote w:type="continuationSeparator" w:id="0">
    <w:p w14:paraId="7F891C66" w14:textId="77777777" w:rsidR="00AC5EA0" w:rsidRDefault="00AC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097F" w14:textId="77777777" w:rsidR="00AC5EA0" w:rsidRDefault="00AC5EA0">
      <w:r>
        <w:separator/>
      </w:r>
    </w:p>
  </w:footnote>
  <w:footnote w:type="continuationSeparator" w:id="0">
    <w:p w14:paraId="068E4B60" w14:textId="77777777" w:rsidR="00AC5EA0" w:rsidRDefault="00AC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545B4"/>
    <w:rsid w:val="009C23A8"/>
    <w:rsid w:val="009C3E3E"/>
    <w:rsid w:val="00A03E3E"/>
    <w:rsid w:val="00A13EE1"/>
    <w:rsid w:val="00A24C47"/>
    <w:rsid w:val="00AB037C"/>
    <w:rsid w:val="00AC5EA0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C805F1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2024-04-06T23:23:00Z</dcterms:created>
  <dcterms:modified xsi:type="dcterms:W3CDTF">2024-04-07T23:21:00Z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