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B8399C9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 w:rsidR="00B97E16">
        <w:rPr>
          <w:rFonts w:ascii="Arial" w:hAnsi="Arial" w:cs="Arial"/>
          <w:b/>
          <w:sz w:val="24"/>
          <w:szCs w:val="24"/>
        </w:rPr>
        <w:t>9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A1EC82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</w:t>
      </w:r>
      <w:r w:rsidR="00C77DB3">
        <w:rPr>
          <w:rFonts w:ascii="Arial" w:hAnsi="Arial" w:cs="Arial"/>
          <w:b/>
          <w:bCs/>
        </w:rPr>
        <w:t>9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4A48DA9D" w:rsidR="00FD4832" w:rsidRDefault="00B97E16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78982" wp14:editId="1E631D37">
                                  <wp:extent cx="6654165" cy="3081020"/>
                                  <wp:effectExtent l="0" t="0" r="0" b="5080"/>
                                  <wp:docPr id="208268109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268109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16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4A48DA9D" w:rsidR="00FD4832" w:rsidRDefault="00B97E16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7F78982" wp14:editId="1E631D37">
                            <wp:extent cx="6654165" cy="3081020"/>
                            <wp:effectExtent l="0" t="0" r="0" b="5080"/>
                            <wp:docPr id="208268109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268109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165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A22C0EF" w14:textId="2F07E270" w:rsidR="00C77DB3" w:rsidRPr="008B552C" w:rsidRDefault="00C77DB3" w:rsidP="00C77DB3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2504A9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D4A84C9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ED4C54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3A1C9E1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0CA8B7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5561093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1C6D343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A36E7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FD246EB" w14:textId="5224ADAB" w:rsidR="00C77DB3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64274E63" w14:textId="52F720ED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6DB712B0" w14:textId="2354EE0A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0C3CB21A" w14:textId="0F895954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2334A2BD" w14:textId="3554017B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72C996D5" w14:textId="3AAC70B3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046C5EAB" w14:textId="4C787F37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45B54A8E" w14:textId="100B3074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184E8120" w14:textId="77777777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4FFDA2CC" w14:textId="77777777" w:rsidR="001543EE" w:rsidRPr="00B26A17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C77DB3" w:rsidRPr="00162DD5" w14:paraId="49137870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88C004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DF2B8B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A5557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8CCA248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D7A54C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5E0EB132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0B003D3A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23399A1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73D80F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2E81F8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21373B9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4B0B09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397474F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43B8F4C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2993ABE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1C46F8C7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5EF645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28DA24A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53BCFB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140844E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5F990BC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69C2B4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6DA67825" w14:textId="33366276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265C17A8" w14:textId="6CBEBBDF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3604576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D661F46" w14:textId="77777777" w:rsidR="00C77DB3" w:rsidRPr="00EB325A" w:rsidRDefault="00C77DB3" w:rsidP="00C77DB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115341A" w14:textId="292DF79A" w:rsidR="00C77DB3" w:rsidRPr="008B552C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bookmarkStart w:id="1" w:name="_Hlk150354357"/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>que las computadoras de la subred de</w:t>
      </w:r>
      <w:r>
        <w:rPr>
          <w:rFonts w:ascii="Arial" w:hAnsi="Arial" w:cs="Arial"/>
          <w:color w:val="0D0D0D" w:themeColor="text1" w:themeTint="F2"/>
        </w:rPr>
        <w:t xml:space="preserve"> las </w:t>
      </w:r>
      <w:proofErr w:type="spellStart"/>
      <w:r>
        <w:rPr>
          <w:rFonts w:ascii="Arial" w:hAnsi="Arial" w:cs="Arial"/>
          <w:color w:val="0D0D0D" w:themeColor="text1" w:themeTint="F2"/>
        </w:rPr>
        <w:t>VLANs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de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</w:t>
      </w:r>
    </w:p>
    <w:bookmarkEnd w:id="1"/>
    <w:p w14:paraId="057CAE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34A65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DDD0A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DE31A2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E22D02B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98E3E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6CE0ED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7FDB82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0B8F1BD2" w14:textId="586D0D52" w:rsidR="00C77DB3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C77DB3" w:rsidRPr="00162DD5" w14:paraId="6EF162F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29C619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2" w:name="_Hlk150354379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04596F1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608BCB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483DC5FA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4E0D287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3FF93C31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786F1A6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0339DF" w14:paraId="631D5B88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3D6D9822" w14:textId="6380984C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1843" w:type="dxa"/>
            <w:vAlign w:val="center"/>
          </w:tcPr>
          <w:p w14:paraId="30722F70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792A26C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F6DCEB1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9F44C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2E11750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784D4BE4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486561B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46274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002CCB4C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517FC766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622F505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6EC2DDF6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44CA197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83F7758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5D23CA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D6D38F7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6EBFDAA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C29258B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619211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BB52FD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0F91FA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603F12C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133C5EE" w14:textId="77777777" w:rsidR="00C77DB3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C77DB3" w:rsidRPr="000339DF" w14:paraId="0A0B9BFF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A3D1B2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547328F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376B62C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DBA3DEC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CE64C5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0339DF" w14:paraId="49D310AE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7A6C38CF" w14:textId="575F9524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2349" w:type="dxa"/>
            <w:vAlign w:val="center"/>
          </w:tcPr>
          <w:p w14:paraId="24CC5FBA" w14:textId="0823D0F8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F81263B" w14:textId="6CE5BA3B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8A48019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7C945785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133B5A2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77CBDA32" w14:textId="2497228C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27EA1E7" w14:textId="2815018E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F1610EE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2666197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61EE7A15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4CE5FB5" w14:textId="5857722A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C3A61B1" w14:textId="43A014E2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76C2B351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15757D3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35EBF1ED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37ACE910" w14:textId="3D005FA2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F75EE17" w14:textId="066733C3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6A3BDC0B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2"/>
    </w:tbl>
    <w:p w14:paraId="5751A469" w14:textId="77777777" w:rsidR="00C77DB3" w:rsidRPr="00EB325A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21D2C87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44235D2" w14:textId="505B3C48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7247DA2" w14:textId="1CD0A87D" w:rsidR="001543EE" w:rsidRDefault="001543EE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BDC740B" w14:textId="235C790E" w:rsidR="001543EE" w:rsidRDefault="001543EE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D9CC443" w14:textId="7221FE53" w:rsidR="001543EE" w:rsidRDefault="001543EE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D26BB01" w14:textId="71E0CAC9" w:rsidR="001543EE" w:rsidRDefault="001543EE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462946B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4E493F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00DC620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B76671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85E5A7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6C15130" w14:textId="723F0F8D" w:rsidR="00C77DB3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</w:t>
      </w:r>
      <w:r w:rsidRPr="009933D3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61545CA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C725D2F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A6DC5F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050722A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5938A281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BF0268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6CC3DE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70878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C0C75E6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C77DB3" w:rsidRPr="00162DD5" w14:paraId="28A656F6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4653079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A56BD3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CA6AC6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130736F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AC953F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0F06D9F3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062F25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21" w:type="dxa"/>
            <w:vAlign w:val="center"/>
          </w:tcPr>
          <w:p w14:paraId="3EF888D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5FA67CA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10885EF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5B6E2D7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4E3F4A1" w14:textId="0E35223D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Director </w:t>
            </w:r>
            <w:r w:rsidR="000423C0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421" w:type="dxa"/>
            <w:vAlign w:val="center"/>
          </w:tcPr>
          <w:p w14:paraId="082C848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2EE5FAAD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7CE9670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32106CC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2CD3F65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21" w:type="dxa"/>
            <w:vAlign w:val="center"/>
          </w:tcPr>
          <w:p w14:paraId="5A9E50F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06948952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B64B8C1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3489ED59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3B2AC02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721A5D2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8756C59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BCA8CD7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2A632F9F" w14:textId="77777777" w:rsidR="00C77DB3" w:rsidRDefault="00C77DB3" w:rsidP="00C77DB3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C77DB3" w:rsidRPr="00162DD5" w14:paraId="0A7762C4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A26BAC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AD76FB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5E5345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514DEDE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CB6C383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564F86" w14:paraId="50D5DDD0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2114BB8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336A874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D47DD8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AEC9326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3B81BC6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7AB5991" w14:textId="7350E389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Director </w:t>
            </w:r>
            <w:r w:rsidR="000423C0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445" w:type="dxa"/>
            <w:vAlign w:val="center"/>
          </w:tcPr>
          <w:p w14:paraId="4397E3D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350BC87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015E9D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CEBC7CF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90E1F6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3DD8375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2ACF0A66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63CEBB1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3658FE7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C5D05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27BBF18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702CFB50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08B22C45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F266223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bookmarkEnd w:id="0"/>
    <w:p w14:paraId="4E8FA2D2" w14:textId="77777777" w:rsidR="00C77DB3" w:rsidRPr="00DB6A2E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C77DB3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423C0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543EE"/>
    <w:rsid w:val="001C5B5E"/>
    <w:rsid w:val="001D05F9"/>
    <w:rsid w:val="001E39D7"/>
    <w:rsid w:val="001F7504"/>
    <w:rsid w:val="00214E18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66CC4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2BF4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6C50E6"/>
    <w:rsid w:val="006D1939"/>
    <w:rsid w:val="007008D6"/>
    <w:rsid w:val="00724055"/>
    <w:rsid w:val="00734610"/>
    <w:rsid w:val="00752A3B"/>
    <w:rsid w:val="0076178E"/>
    <w:rsid w:val="007B1EDA"/>
    <w:rsid w:val="007C3142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566"/>
    <w:rsid w:val="00B001C8"/>
    <w:rsid w:val="00B02744"/>
    <w:rsid w:val="00B427EE"/>
    <w:rsid w:val="00B4532F"/>
    <w:rsid w:val="00B50C00"/>
    <w:rsid w:val="00B76EA5"/>
    <w:rsid w:val="00B92C88"/>
    <w:rsid w:val="00B97E16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64DFA"/>
    <w:rsid w:val="00C74170"/>
    <w:rsid w:val="00C77DB3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55C64"/>
    <w:rsid w:val="00FD2DAF"/>
    <w:rsid w:val="00FD4832"/>
    <w:rsid w:val="00FD643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2024-05-24T01:47:00Z</dcterms:created>
  <dcterms:modified xsi:type="dcterms:W3CDTF">2024-05-24T01:47:00Z</dcterms:modified>
</cp:coreProperties>
</file>