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F82A4" w14:textId="54DB362E" w:rsidR="00D802A6" w:rsidRDefault="00ED3ECE" w:rsidP="009B42B9">
      <w:pPr>
        <w:jc w:val="center"/>
      </w:pPr>
      <w:r>
        <w:t>Kickstarter</w:t>
      </w:r>
      <w:r w:rsidR="009B42B9">
        <w:t xml:space="preserve"> </w:t>
      </w:r>
      <w:r w:rsidR="006B5EFE">
        <w:t>Insights</w:t>
      </w:r>
    </w:p>
    <w:p w14:paraId="60B091E6" w14:textId="77777777" w:rsidR="00D802A6" w:rsidRDefault="00D802A6" w:rsidP="00D95C30"/>
    <w:p w14:paraId="0C71D860" w14:textId="78BA5B93" w:rsidR="004C4F56" w:rsidRDefault="00D95C30" w:rsidP="00D95C30">
      <w:r>
        <w:t>What are three conclusions we can make about Kickstarter campaigns given the provided data?</w:t>
      </w:r>
    </w:p>
    <w:p w14:paraId="156D55FC" w14:textId="2EFE5E7C" w:rsidR="00ED3ECE" w:rsidRDefault="00ED3ECE" w:rsidP="00D95C30">
      <w:r>
        <w:t xml:space="preserve">From analyzing the dataset provided about the success rates of various </w:t>
      </w:r>
      <w:r w:rsidR="007853F1">
        <w:t>Kickstarter</w:t>
      </w:r>
      <w:r>
        <w:t xml:space="preserve"> campaigns we can conclude </w:t>
      </w:r>
      <w:r w:rsidR="00E1341C">
        <w:t xml:space="preserve">that theatre appears to be by far the most popular category for </w:t>
      </w:r>
      <w:r w:rsidR="007853F1">
        <w:t>Kickstarter</w:t>
      </w:r>
      <w:r w:rsidR="00E1341C">
        <w:t xml:space="preserve">. Of the 1400 campaigns, 839 were successful. Music was the second most popular campaign with a total of 700 and a </w:t>
      </w:r>
      <w:r w:rsidR="007853F1">
        <w:t>high</w:t>
      </w:r>
      <w:r w:rsidR="00E1341C">
        <w:t xml:space="preserve"> success rate of 540. </w:t>
      </w:r>
    </w:p>
    <w:p w14:paraId="7E5A8A00" w14:textId="69F11A8C" w:rsidR="004C4F56" w:rsidRDefault="004C4F56" w:rsidP="00D95C30">
      <w:r>
        <w:rPr>
          <w:noProof/>
        </w:rPr>
        <w:drawing>
          <wp:inline distT="0" distB="0" distL="0" distR="0" wp14:anchorId="61945801" wp14:editId="130114D4">
            <wp:extent cx="5505450" cy="33718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692965-391D-47C2-A58B-B7B1382268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3566BBC" w14:textId="656FD819" w:rsidR="004C4F56" w:rsidRDefault="004C4F56" w:rsidP="00D95C30"/>
    <w:p w14:paraId="38B3D3F0" w14:textId="6F7B8021" w:rsidR="004C4F56" w:rsidRDefault="00E1341C" w:rsidP="00D95C30">
      <w:r>
        <w:lastRenderedPageBreak/>
        <w:t xml:space="preserve">For the sub-categories Plays had a staggeringly high number of successful campaigns compared to other sub-categories with 694 successful out of 1066. </w:t>
      </w:r>
      <w:r w:rsidR="004C4F56">
        <w:rPr>
          <w:noProof/>
        </w:rPr>
        <w:drawing>
          <wp:inline distT="0" distB="0" distL="0" distR="0" wp14:anchorId="1D214483" wp14:editId="204E2624">
            <wp:extent cx="5168900" cy="36068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57F3DEB-9B4E-47BD-8335-56E547AF1B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</w:p>
    <w:bookmarkEnd w:id="0"/>
    <w:p w14:paraId="158C6B02" w14:textId="75407192" w:rsidR="00E1341C" w:rsidRDefault="00E1341C" w:rsidP="00D95C30">
      <w:r>
        <w:t xml:space="preserve">In terms of the success rate determined by the time of the year, it appears that campaigns were only live during March thru May. </w:t>
      </w:r>
      <w:r w:rsidR="00FD08F4">
        <w:t xml:space="preserve">The amount of canceled campaigns stayed </w:t>
      </w:r>
      <w:r w:rsidR="007853F1">
        <w:t>consistent</w:t>
      </w:r>
      <w:r w:rsidR="00FD08F4">
        <w:t xml:space="preserve"> year-round at under 50. Successful campaigns gained momentum in the first few months with a small decline and then stayed </w:t>
      </w:r>
      <w:r w:rsidR="007853F1">
        <w:t>high</w:t>
      </w:r>
      <w:r w:rsidR="00FD08F4">
        <w:t xml:space="preserve"> for most of the summer and dipping slightly in the Fall. </w:t>
      </w:r>
    </w:p>
    <w:p w14:paraId="22F680EA" w14:textId="3729AD45" w:rsidR="004C4F56" w:rsidRDefault="004C4F56" w:rsidP="00D95C30">
      <w:r>
        <w:rPr>
          <w:noProof/>
        </w:rPr>
        <w:drawing>
          <wp:inline distT="0" distB="0" distL="0" distR="0" wp14:anchorId="54E9021D" wp14:editId="588F8101">
            <wp:extent cx="5010150" cy="29622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38BC15-070E-4A94-99AA-1C4813DBDD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2EF76F9" w14:textId="37B3DD10" w:rsidR="004C4F56" w:rsidRDefault="004C4F56" w:rsidP="00D95C30"/>
    <w:p w14:paraId="0A3487E8" w14:textId="1C4E98A3" w:rsidR="004C4F56" w:rsidRDefault="004C4F56" w:rsidP="00D95C30"/>
    <w:p w14:paraId="0E427863" w14:textId="77777777" w:rsidR="004C4F56" w:rsidRDefault="004C4F56" w:rsidP="00D95C30"/>
    <w:p w14:paraId="6A79F631" w14:textId="1D21E0E4" w:rsidR="00D95C30" w:rsidRDefault="00D95C30" w:rsidP="00D95C30">
      <w:r>
        <w:t>What are some of the limitations of this dataset?</w:t>
      </w:r>
    </w:p>
    <w:p w14:paraId="37BD4499" w14:textId="34FD32EC" w:rsidR="00FD08F4" w:rsidRDefault="00FD08F4" w:rsidP="00D95C30">
      <w:r>
        <w:t>It is hard to draw any definitive conclusions on this dataset alone. If I were looking to gauge whether I thought my campaign would be successful I would need to know more about what the selling point was for those who donated for the specific category and sub-category of my campaign. This dataset can help me determine a good time of the year to start fundraising and a general idea of trends, but I still need to know more about the selling point of each campaign.</w:t>
      </w:r>
    </w:p>
    <w:p w14:paraId="56109983" w14:textId="214C1F4B" w:rsidR="00547D26" w:rsidRDefault="00D95C30" w:rsidP="00D95C30">
      <w:r>
        <w:t>What are some other possible tables/graphs that we could create?</w:t>
      </w:r>
    </w:p>
    <w:p w14:paraId="049E5A30" w14:textId="14C9DF41" w:rsidR="00D95C30" w:rsidRDefault="001B0E56" w:rsidP="00D95C30">
      <w:r>
        <w:t>It would be interesting to track campaigns over the years. Given this dataset includes campaigns from 2009 to 2017 I think we could find some valuable information in how trends have changed in each category.</w:t>
      </w:r>
    </w:p>
    <w:p w14:paraId="1F868D44" w14:textId="3DBFBAF5" w:rsidR="001B0E56" w:rsidRDefault="001B0E56" w:rsidP="00D95C30">
      <w:r>
        <w:t xml:space="preserve">We could also look at the high percent funded campaigns to look for key differentiators. </w:t>
      </w:r>
    </w:p>
    <w:p w14:paraId="37048A58" w14:textId="5EA7D4DF" w:rsidR="00ED3ECE" w:rsidRDefault="00ED3ECE" w:rsidP="00D95C30"/>
    <w:sectPr w:rsidR="00ED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30"/>
    <w:rsid w:val="00103E0E"/>
    <w:rsid w:val="001B0E56"/>
    <w:rsid w:val="003C4503"/>
    <w:rsid w:val="004C4F56"/>
    <w:rsid w:val="00547D26"/>
    <w:rsid w:val="006670D2"/>
    <w:rsid w:val="006B5EFE"/>
    <w:rsid w:val="007853F1"/>
    <w:rsid w:val="009B42B9"/>
    <w:rsid w:val="00B67DE7"/>
    <w:rsid w:val="00C81C66"/>
    <w:rsid w:val="00D802A6"/>
    <w:rsid w:val="00D95C30"/>
    <w:rsid w:val="00E1341C"/>
    <w:rsid w:val="00E70EF1"/>
    <w:rsid w:val="00EA541D"/>
    <w:rsid w:val="00ED3ECE"/>
    <w:rsid w:val="00F165BC"/>
    <w:rsid w:val="00FD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0C0B"/>
  <w15:chartTrackingRefBased/>
  <w15:docId w15:val="{AF6B661F-6B68-400F-9A39-DCB7985E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artlaub\Desktop\Excel%20H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artlaub\Desktop\Excel%20H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hartlaub\Desktop\Excel%20HW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HW.xlsx]Success Rate by 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6">
              <a:lumMod val="5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'Success Rate by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'Success Rate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'Success Rate by 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A6-42DD-8E55-77147B8FF8CC}"/>
            </c:ext>
          </c:extLst>
        </c:ser>
        <c:ser>
          <c:idx val="1"/>
          <c:order val="1"/>
          <c:tx>
            <c:strRef>
              <c:f>'Success Rate 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'Success Rate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'Success Rate by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A6-42DD-8E55-77147B8FF8CC}"/>
            </c:ext>
          </c:extLst>
        </c:ser>
        <c:ser>
          <c:idx val="2"/>
          <c:order val="2"/>
          <c:tx>
            <c:strRef>
              <c:f>'Success Rate by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'Success Rate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'Success Rate by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A6-42DD-8E55-77147B8FF8CC}"/>
            </c:ext>
          </c:extLst>
        </c:ser>
        <c:ser>
          <c:idx val="3"/>
          <c:order val="3"/>
          <c:tx>
            <c:strRef>
              <c:f>'Success Rate by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'Success Rate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'Success Rate by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A6-42DD-8E55-77147B8FF8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6638191"/>
        <c:axId val="109024399"/>
      </c:barChart>
      <c:catAx>
        <c:axId val="426638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024399"/>
        <c:crosses val="autoZero"/>
        <c:auto val="1"/>
        <c:lblAlgn val="ctr"/>
        <c:lblOffset val="100"/>
        <c:noMultiLvlLbl val="0"/>
      </c:catAx>
      <c:valAx>
        <c:axId val="10902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63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HW.xlsx]Sucess Rate by Subcategory!PivotTable2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'Sucess Rate by Subcategory'!$B$4:$B$5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'Sucess Rate by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'Sucess Rate by Subcategory'!$B$6:$B$47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03-4592-90DB-BF402D671024}"/>
            </c:ext>
          </c:extLst>
        </c:ser>
        <c:ser>
          <c:idx val="1"/>
          <c:order val="1"/>
          <c:tx>
            <c:strRef>
              <c:f>'Sucess Rate by Subcategory'!$C$4:$C$5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'Sucess Rate by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'Sucess Rate by Subcategory'!$C$6:$C$47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03-4592-90DB-BF402D671024}"/>
            </c:ext>
          </c:extLst>
        </c:ser>
        <c:ser>
          <c:idx val="2"/>
          <c:order val="2"/>
          <c:tx>
            <c:strRef>
              <c:f>'Sucess Rate by Subcategory'!$D$4:$D$5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'Sucess Rate by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'Sucess Rate by Subcategory'!$D$6:$D$47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03-4592-90DB-BF402D671024}"/>
            </c:ext>
          </c:extLst>
        </c:ser>
        <c:ser>
          <c:idx val="3"/>
          <c:order val="3"/>
          <c:tx>
            <c:strRef>
              <c:f>'Sucess Rate by Subcategory'!$E$4:$E$5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'Sucess Rate by Subcategory'!$A$6:$A$47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'Sucess Rate by Subcategory'!$E$6:$E$47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303-4592-90DB-BF402D671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69806032"/>
        <c:axId val="1582627424"/>
      </c:barChart>
      <c:catAx>
        <c:axId val="1569806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627424"/>
        <c:crosses val="autoZero"/>
        <c:auto val="1"/>
        <c:lblAlgn val="ctr"/>
        <c:lblOffset val="100"/>
        <c:noMultiLvlLbl val="0"/>
      </c:catAx>
      <c:valAx>
        <c:axId val="158262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980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HW.xlsx]Month!PivotTable4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9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Month!$B$4:$B$5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Month!$A$6:$A$18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Month!$B$6:$B$18</c:f>
              <c:numCache>
                <c:formatCode>General</c:formatCode>
                <c:ptCount val="12"/>
                <c:pt idx="0">
                  <c:v>25</c:v>
                </c:pt>
                <c:pt idx="1">
                  <c:v>29</c:v>
                </c:pt>
                <c:pt idx="2">
                  <c:v>29</c:v>
                </c:pt>
                <c:pt idx="3">
                  <c:v>28</c:v>
                </c:pt>
                <c:pt idx="4">
                  <c:v>28</c:v>
                </c:pt>
                <c:pt idx="5">
                  <c:v>23</c:v>
                </c:pt>
                <c:pt idx="6">
                  <c:v>35</c:v>
                </c:pt>
                <c:pt idx="7">
                  <c:v>37</c:v>
                </c:pt>
                <c:pt idx="8">
                  <c:v>25</c:v>
                </c:pt>
                <c:pt idx="9">
                  <c:v>33</c:v>
                </c:pt>
                <c:pt idx="10">
                  <c:v>21</c:v>
                </c:pt>
                <c:pt idx="11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44-429C-849B-027D241F9591}"/>
            </c:ext>
          </c:extLst>
        </c:ser>
        <c:ser>
          <c:idx val="1"/>
          <c:order val="1"/>
          <c:tx>
            <c:strRef>
              <c:f>Month!$C$4:$C$5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Month!$A$6:$A$18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Month!$C$6:$C$18</c:f>
              <c:numCache>
                <c:formatCode>General</c:formatCode>
                <c:ptCount val="12"/>
                <c:pt idx="0">
                  <c:v>124</c:v>
                </c:pt>
                <c:pt idx="1">
                  <c:v>128</c:v>
                </c:pt>
                <c:pt idx="2">
                  <c:v>122</c:v>
                </c:pt>
                <c:pt idx="3">
                  <c:v>97</c:v>
                </c:pt>
                <c:pt idx="4">
                  <c:v>123</c:v>
                </c:pt>
                <c:pt idx="5">
                  <c:v>118</c:v>
                </c:pt>
                <c:pt idx="6">
                  <c:v>137</c:v>
                </c:pt>
                <c:pt idx="7">
                  <c:v>154</c:v>
                </c:pt>
                <c:pt idx="8">
                  <c:v>137</c:v>
                </c:pt>
                <c:pt idx="9">
                  <c:v>145</c:v>
                </c:pt>
                <c:pt idx="10">
                  <c:v>132</c:v>
                </c:pt>
                <c:pt idx="11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44-429C-849B-027D241F9591}"/>
            </c:ext>
          </c:extLst>
        </c:ser>
        <c:ser>
          <c:idx val="2"/>
          <c:order val="2"/>
          <c:tx>
            <c:strRef>
              <c:f>Month!$D$4:$D$5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Month!$A$6:$A$18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Month!$D$6:$D$18</c:f>
              <c:numCache>
                <c:formatCode>General</c:formatCode>
                <c:ptCount val="12"/>
                <c:pt idx="2">
                  <c:v>22</c:v>
                </c:pt>
                <c:pt idx="3">
                  <c:v>27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44-429C-849B-027D241F9591}"/>
            </c:ext>
          </c:extLst>
        </c:ser>
        <c:ser>
          <c:idx val="3"/>
          <c:order val="3"/>
          <c:tx>
            <c:strRef>
              <c:f>Month!$E$4:$E$5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Month!$A$6:$A$18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Month!$E$6:$E$18</c:f>
              <c:numCache>
                <c:formatCode>General</c:formatCode>
                <c:ptCount val="12"/>
                <c:pt idx="0">
                  <c:v>133</c:v>
                </c:pt>
                <c:pt idx="1">
                  <c:v>152</c:v>
                </c:pt>
                <c:pt idx="2">
                  <c:v>208</c:v>
                </c:pt>
                <c:pt idx="3">
                  <c:v>186</c:v>
                </c:pt>
                <c:pt idx="4">
                  <c:v>208</c:v>
                </c:pt>
                <c:pt idx="5">
                  <c:v>215</c:v>
                </c:pt>
                <c:pt idx="6">
                  <c:v>222</c:v>
                </c:pt>
                <c:pt idx="7">
                  <c:v>198</c:v>
                </c:pt>
                <c:pt idx="8">
                  <c:v>160</c:v>
                </c:pt>
                <c:pt idx="9">
                  <c:v>158</c:v>
                </c:pt>
                <c:pt idx="10">
                  <c:v>160</c:v>
                </c:pt>
                <c:pt idx="11">
                  <c:v>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44-429C-849B-027D241F95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574111"/>
        <c:axId val="241705935"/>
      </c:lineChart>
      <c:catAx>
        <c:axId val="407574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705935"/>
        <c:crosses val="autoZero"/>
        <c:auto val="1"/>
        <c:lblAlgn val="ctr"/>
        <c:lblOffset val="100"/>
        <c:noMultiLvlLbl val="0"/>
      </c:catAx>
      <c:valAx>
        <c:axId val="24170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574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Hartlaub</dc:creator>
  <cp:keywords/>
  <dc:description/>
  <cp:lastModifiedBy>Liza Hartlaub</cp:lastModifiedBy>
  <cp:revision>3</cp:revision>
  <dcterms:created xsi:type="dcterms:W3CDTF">2018-10-13T14:07:00Z</dcterms:created>
  <dcterms:modified xsi:type="dcterms:W3CDTF">2018-10-13T14:09:00Z</dcterms:modified>
</cp:coreProperties>
</file>