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2024年4月12日安全运维部日报</w:t>
      </w:r>
    </w:p>
    <w:p>
      <w:r>
        <w:rPr>
          <w:b/>
        </w:rPr>
        <w:t>一、今日工作进展</w:t>
      </w:r>
    </w:p>
    <w:p>
      <w:pPr>
        <w:pStyle w:val="ListBullet"/>
      </w:pPr>
      <w:r>
        <w:t>完成全量资产安全扫描，发现中危漏洞3个、低危漏洞12个，已全部纳入修复计划。</w:t>
      </w:r>
    </w:p>
    <w:p>
      <w:pPr>
        <w:pStyle w:val="ListBullet"/>
      </w:pPr>
      <w:r>
        <w:t>月度渗透测试报告编制完成，共发现2处需关注的安全风险点。</w:t>
      </w:r>
    </w:p>
    <w:p>
      <w:pPr>
        <w:pStyle w:val="ListBullet"/>
      </w:pPr>
      <w:r>
        <w:t>安全培训第三期完成，参训人员45人，考试通过率96%。</w:t>
      </w:r>
    </w:p>
    <w:p>
      <w:r>
        <w:rPr>
          <w:b/>
        </w:rPr>
        <w:t>二、存在问题</w:t>
      </w:r>
    </w:p>
    <w:p>
      <w:pPr>
        <w:pStyle w:val="ListBullet"/>
      </w:pPr>
      <w:r>
        <w:t>2处安全风险涉及未授权访问，需协调开发组限期修复。</w:t>
      </w:r>
    </w:p>
    <w:p>
      <w:pPr>
        <w:pStyle w:val="ListBullet"/>
      </w:pPr>
      <w:r>
        <w:t>部分终端安全客户端版本过旧，需推动全局升级。</w:t>
      </w:r>
    </w:p>
    <w:p>
      <w:r>
        <w:rPr>
          <w:b/>
        </w:rPr>
        <w:t>三、下一步计划</w:t>
      </w:r>
    </w:p>
    <w:p>
      <w:pPr>
        <w:pStyle w:val="ListBullet"/>
      </w:pPr>
      <w:r>
        <w:t>跟踪中危漏洞修复进度。</w:t>
      </w:r>
    </w:p>
    <w:p>
      <w:pPr>
        <w:pStyle w:val="ListBullet"/>
      </w:pPr>
      <w:r>
        <w:t>协调开发组处理未授权访问风险。</w:t>
      </w:r>
    </w:p>
    <w:p>
      <w:pPr>
        <w:pStyle w:val="ListBullet"/>
      </w:pPr>
      <w:r>
        <w:t>推进终端安全客户端升级计划。</w:t>
      </w:r>
    </w:p>
    <w:p>
      <w:r>
        <w:rPr>
          <w:b/>
        </w:rPr>
        <w:t>四、项目进展表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进度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安全扫描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漏洞已纳入修复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渗透测试报告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2处风险点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安全培训第三期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通过率96%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漏洞修复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中危3个处理中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