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2026年4月12日甲单位日报</w:t>
      </w:r>
    </w:p>
    <w:p>
      <w:pPr>
        <w:pStyle w:val="Subtitle"/>
      </w:pPr>
      <w:r>
        <w:t>甲单位（数据中心） · 数据治理与运维值班日报</w:t>
      </w:r>
    </w:p>
    <w:p>
      <w:pPr>
        <w:pStyle w:val="Heading2"/>
      </w:pPr>
      <w:r>
        <w:t>一、工作概述</w:t>
      </w:r>
    </w:p>
    <w:p>
      <w:r>
        <w:t>本日完成核心数据平台例行巡检，ODS 层同步任务成功率 99.2%。配合业务完成季度报表口径核对，未发现阻断性异常。</w:t>
      </w:r>
    </w:p>
    <w:p>
      <w:pPr>
        <w:pStyle w:val="ListBullet"/>
      </w:pPr>
      <w:r>
        <w:t>完成事项：</w:t>
      </w:r>
    </w:p>
    <w:p>
      <w:pPr>
        <w:pStyle w:val="ListBullet2"/>
      </w:pPr>
      <w:r>
        <w:t>完成主数据质量规则 3 条上线与回归验证。</w:t>
      </w:r>
    </w:p>
    <w:p>
      <w:pPr>
        <w:pStyle w:val="ListBullet2"/>
      </w:pPr>
      <w:r>
        <w:t>处理工单 2 单（数据权限申请、字段映射确认）。</w:t>
      </w:r>
    </w:p>
    <w:p>
      <w:pPr>
        <w:pStyle w:val="Heading2"/>
      </w:pPr>
      <w:r>
        <w:t>二、重点项目</w:t>
      </w:r>
    </w:p>
    <w:p>
      <w:pPr>
        <w:pStyle w:val="Heading3"/>
      </w:pPr>
      <w:r>
        <w:t>2.1 主数据治理</w:t>
      </w:r>
    </w:p>
    <w:p>
      <w:r>
        <w:t>推进客户主数据与 CRM 源系统对账，抽样 500 条，一致率 98.6%。</w:t>
      </w:r>
    </w:p>
    <w:p>
      <w:pPr>
        <w:pStyle w:val="Heading3"/>
      </w:pPr>
      <w:r>
        <w:t>2.2 指标口径统一</w:t>
      </w:r>
    </w:p>
    <w:p>
      <w:r>
        <w:t>与财务口径对齐「营业收入」计算逻辑，已输出差异清单待业务确认。</w:t>
      </w:r>
    </w:p>
    <w:p>
      <w:pPr>
        <w:pStyle w:val="Heading2"/>
      </w:pPr>
      <w:r>
        <w:t>三、问题与风险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描述</w:t>
            </w:r>
          </w:p>
        </w:tc>
        <w:tc>
          <w:tcPr>
            <w:tcW w:type="dxa" w:w="2880"/>
          </w:tcPr>
          <w:p>
            <w:r>
              <w:t>等级</w:t>
            </w:r>
          </w:p>
        </w:tc>
      </w:tr>
      <w:tr>
        <w:tc>
          <w:tcPr>
            <w:tcW w:type="dxa" w:w="2880"/>
          </w:tcPr>
          <w:p>
            <w:r>
              <w:t>数据质量</w:t>
            </w:r>
          </w:p>
        </w:tc>
        <w:tc>
          <w:tcPr>
            <w:tcW w:type="dxa" w:w="2880"/>
          </w:tcPr>
          <w:p>
            <w:r>
              <w:t>部分历史订单缺少地区编码，影响地域分析。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  <w:tr>
        <w:tc>
          <w:tcPr>
            <w:tcW w:type="dxa" w:w="2880"/>
          </w:tcPr>
          <w:p>
            <w:r>
              <w:t>资源</w:t>
            </w:r>
          </w:p>
        </w:tc>
        <w:tc>
          <w:tcPr>
            <w:tcW w:type="dxa" w:w="2880"/>
          </w:tcPr>
          <w:p>
            <w:r>
              <w:t>夜间批处理窗口紧张，存在轻微延迟风险。</w:t>
            </w:r>
          </w:p>
        </w:tc>
        <w:tc>
          <w:tcPr>
            <w:tcW w:type="dxa" w:w="2880"/>
          </w:tcPr>
          <w:p>
            <w:r>
              <w:t>低</w:t>
            </w:r>
          </w:p>
        </w:tc>
      </w:tr>
    </w:tbl>
    <w:p>
      <w:pPr>
        <w:pStyle w:val="Heading2"/>
      </w:pPr>
      <w:r>
        <w:t>四、明日计划</w:t>
      </w:r>
    </w:p>
    <w:p>
      <w:pPr>
        <w:pStyle w:val="ListNumber"/>
      </w:pPr>
      <w:r>
        <w:t>继续跟进地区编码补全方案；完成指标口径确认会；观察批处理时长。</w:t>
      </w:r>
    </w:p>
    <w:sectPr w:rsidR="00FC693F" w:rsidRPr="0006063C" w:rsidSect="00034616">
      <w:pgSz w:w="12240" w:h="15840"/>
      <w:pgMar w:top="1417" w:right="1800" w:bottom="1417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