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2026年4月12日乙单位日报</w:t>
      </w:r>
    </w:p>
    <w:p>
      <w:pPr>
        <w:pStyle w:val="Subtitle"/>
      </w:pPr>
      <w:r>
        <w:t>乙单位（业务部门） · 业务数据与报表日报</w:t>
      </w:r>
    </w:p>
    <w:p>
      <w:pPr>
        <w:pStyle w:val="Heading2"/>
      </w:pPr>
      <w:r>
        <w:t>一、工作概述</w:t>
      </w:r>
    </w:p>
    <w:p>
      <w:r>
        <w:t>本日重点支撑销售条线月度经营分析取数；完成 2 张主题看板数据核对。</w:t>
      </w:r>
    </w:p>
    <w:p>
      <w:pPr>
        <w:pStyle w:val="ListBullet"/>
      </w:pPr>
      <w:r>
        <w:t>协调事项：</w:t>
      </w:r>
    </w:p>
    <w:p>
      <w:pPr>
        <w:pStyle w:val="ListBullet2"/>
      </w:pPr>
      <w:r>
        <w:t>与市场部确认「新增客户」统计口径。</w:t>
      </w:r>
    </w:p>
    <w:p>
      <w:pPr>
        <w:pStyle w:val="ListBullet2"/>
      </w:pPr>
      <w:r>
        <w:t>处理跨部门数据权限申请 1 单。</w:t>
      </w:r>
    </w:p>
    <w:p>
      <w:pPr>
        <w:pStyle w:val="Heading2"/>
      </w:pPr>
      <w:r>
        <w:t>二、重点项目</w:t>
      </w:r>
    </w:p>
    <w:p>
      <w:pPr>
        <w:pStyle w:val="Heading3"/>
      </w:pPr>
      <w:r>
        <w:t>2.1 经营分析报表</w:t>
      </w:r>
    </w:p>
    <w:p>
      <w:r>
        <w:t>收入与回款双口径报表已对齐财务，差异项已标注待周会确认。</w:t>
      </w:r>
    </w:p>
    <w:p>
      <w:pPr>
        <w:pStyle w:val="Heading3"/>
      </w:pPr>
      <w:r>
        <w:t>2.2 客户主数据</w:t>
      </w:r>
    </w:p>
    <w:p>
      <w:r>
        <w:t>协助甲单位完成客户编码与 CRM 对账抽样复核。</w:t>
      </w:r>
    </w:p>
    <w:p>
      <w:pPr>
        <w:pStyle w:val="Heading2"/>
      </w:pPr>
      <w:r>
        <w:t>三、问题与风险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描述</w:t>
            </w:r>
          </w:p>
        </w:tc>
        <w:tc>
          <w:tcPr>
            <w:tcW w:type="dxa" w:w="2880"/>
          </w:tcPr>
          <w:p>
            <w:r>
              <w:t>等级</w:t>
            </w:r>
          </w:p>
        </w:tc>
      </w:tr>
      <w:tr>
        <w:tc>
          <w:tcPr>
            <w:tcW w:type="dxa" w:w="2880"/>
          </w:tcPr>
          <w:p>
            <w:r>
              <w:t>口径</w:t>
            </w:r>
          </w:p>
        </w:tc>
        <w:tc>
          <w:tcPr>
            <w:tcW w:type="dxa" w:w="2880"/>
          </w:tcPr>
          <w:p>
            <w:r>
              <w:t>部分区域「签约额」与财务系统展示字段不一致。</w:t>
            </w:r>
          </w:p>
        </w:tc>
        <w:tc>
          <w:tcPr>
            <w:tcW w:type="dxa" w:w="2880"/>
          </w:tcPr>
          <w:p>
            <w:r>
              <w:t>中</w:t>
            </w:r>
          </w:p>
        </w:tc>
      </w:tr>
      <w:tr>
        <w:tc>
          <w:tcPr>
            <w:tcW w:type="dxa" w:w="2880"/>
          </w:tcPr>
          <w:p>
            <w:r>
              <w:t>时效</w:t>
            </w:r>
          </w:p>
        </w:tc>
        <w:tc>
          <w:tcPr>
            <w:tcW w:type="dxa" w:w="2880"/>
          </w:tcPr>
          <w:p>
            <w:r>
              <w:t>月末集中取数压力大，存在排队。</w:t>
            </w:r>
          </w:p>
        </w:tc>
        <w:tc>
          <w:tcPr>
            <w:tcW w:type="dxa" w:w="2880"/>
          </w:tcPr>
          <w:p>
            <w:r>
              <w:t>低</w:t>
            </w:r>
          </w:p>
        </w:tc>
      </w:tr>
    </w:tbl>
    <w:p>
      <w:pPr>
        <w:pStyle w:val="Heading2"/>
      </w:pPr>
      <w:r>
        <w:t>四、明日计划</w:t>
      </w:r>
    </w:p>
    <w:p>
      <w:pPr>
        <w:pStyle w:val="ListNumber"/>
      </w:pPr>
      <w:r>
        <w:t>跟进签约额口径确认；优化看板刷新频率配置。</w:t>
      </w:r>
    </w:p>
    <w:sectPr w:rsidR="00FC693F" w:rsidRPr="0006063C" w:rsidSect="00034616">
      <w:pgSz w:w="12240" w:h="15840"/>
      <w:pgMar w:top="141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