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80" w:before="1200" w:after="480"/>
        <w:jc w:val="center"/>
      </w:pPr>
      <w:r>
        <w:rPr>
          <w:rFonts w:ascii="Times New Roman" w:hAnsi="Times New Roman" w:eastAsia="方正小标宋简体"/>
          <w:b w:val="0"/>
          <w:i w:val="0"/>
          <w:sz w:val="44"/>
        </w:rPr>
        <w:t>数据工具箱使用说明书</w:t>
      </w:r>
    </w:p>
    <w:p>
      <w:pPr>
        <w:spacing w:lineRule="exact" w:line="560" w:before="0" w:after="120"/>
        <w:jc w:val="center"/>
        <w:ind/>
      </w:pPr>
      <w:r>
        <w:rPr>
          <w:rFonts w:ascii="Times New Roman" w:hAnsi="Times New Roman" w:eastAsia="楷体_GB2312"/>
          <w:b w:val="0"/>
          <w:i w:val="0"/>
          <w:sz w:val="32"/>
        </w:rPr>
        <w:t>（版本 v2026.9.19115018）</w:t>
      </w:r>
    </w:p>
    <w:p>
      <w:pPr>
        <w:spacing w:lineRule="exact" w:line="560" w:before="0" w:after="120"/>
        <w:jc w:val="center"/>
        <w:ind/>
      </w:pPr>
      <w:r>
        <w:rPr>
          <w:rFonts w:ascii="Times New Roman" w:hAnsi="Times New Roman" w:eastAsia="楷体_GB2312"/>
          <w:b w:val="0"/>
          <w:i w:val="0"/>
          <w:sz w:val="32"/>
        </w:rPr>
        <w:t>数据工具箱项目组</w:t>
      </w:r>
    </w:p>
    <w:p>
      <w:pPr>
        <w:spacing w:lineRule="exact" w:line="560" w:before="0" w:after="120"/>
        <w:jc w:val="center"/>
        <w:ind/>
      </w:pPr>
      <w:r>
        <w:rPr>
          <w:rFonts w:ascii="Times New Roman" w:hAnsi="Times New Roman" w:eastAsia="楷体_GB2312"/>
          <w:b w:val="0"/>
          <w:i w:val="0"/>
          <w:sz w:val="32"/>
        </w:rPr>
        <w:t>二〇二六年九月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</w:r>
    </w:p>
    <w:p>
      <w:pPr>
        <w:spacing w:lineRule="exact" w:line="560" w:before="0" w:after="0"/>
        <w:jc w:val="center"/>
        <w:ind/>
      </w:pPr>
      <w:r>
        <w:rPr>
          <w:rFonts w:ascii="Times New Roman" w:hAnsi="Times New Roman" w:eastAsia="楷体_GB2312"/>
          <w:b w:val="0"/>
          <w:i w:val="0"/>
          <w:sz w:val="21"/>
        </w:rPr>
        <w:t>本说明书随版本发布同步更新，如有疑问请以系统内实际界面为准。</w:t>
      </w:r>
    </w:p>
    <w:p>
      <w:r>
        <w:br w:type="page"/>
      </w:r>
    </w:p>
    <w:p>
      <w:pPr>
        <w:spacing w:lineRule="exact" w:line="680" w:before="0" w:after="240"/>
        <w:jc w:val="center"/>
      </w:pPr>
      <w:r>
        <w:rPr>
          <w:rFonts w:ascii="Times New Roman" w:hAnsi="Times New Roman" w:eastAsia="黑体"/>
          <w:b w:val="0"/>
          <w:i w:val="0"/>
          <w:sz w:val="44"/>
        </w:rPr>
        <w:t>目　　录</w:t>
      </w:r>
    </w:p>
    <w:p>
      <w:pPr>
        <w:spacing w:lineRule="exact" w:line="560" w:before="0" w:after="16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本说明书共分十五章及三个附录，主要内容目录如下：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一、系统概述</w:t>
        <w:tab/>
        <w:t>3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二、安装与部署</w:t>
        <w:tab/>
        <w:t>5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三、登录与界面总览</w:t>
        <w:tab/>
        <w:t>8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四、数据库管理</w:t>
        <w:tab/>
        <w:t>11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五、数据治理</w:t>
        <w:tab/>
        <w:t>13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六、本体论抽象</w:t>
        <w:tab/>
        <w:t>22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七、数据血缘</w:t>
        <w:tab/>
        <w:t>22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八、接口分发</w:t>
        <w:tab/>
        <w:t>23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九、Agent 服务（MCP）</w:t>
        <w:tab/>
        <w:t>24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十、智能助手</w:t>
        <w:tab/>
        <w:t>25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十一、模型管理</w:t>
        <w:tab/>
        <w:t>27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十二、数据质量审核</w:t>
        <w:tab/>
        <w:t>28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十三、应用广场</w:t>
        <w:tab/>
        <w:t>32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十四、大屏编辑器</w:t>
        <w:tab/>
        <w:t>33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十五、常见问题与故障排查</w:t>
        <w:tab/>
        <w:t>35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附录 A　治理任务内置 API（gov.*）速查</w:t>
        <w:tab/>
        <w:t>36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附录 B　内置示例任务速查</w:t>
        <w:tab/>
        <w:t>37</w:t>
      </w:r>
    </w:p>
    <w:p>
      <w:pPr>
        <w:spacing w:lineRule="exact" w:line="480" w:before="0" w:after="0"/>
        <w:ind/>
        <w:tabs>
          <w:tab w:val="right" w:leader="dot" w:pos="8930"/>
        </w:tabs>
      </w:pPr>
      <w:r>
        <w:rPr>
          <w:rFonts w:ascii="Times New Roman" w:hAnsi="Times New Roman" w:eastAsia="仿宋_GB2312"/>
          <w:b w:val="0"/>
          <w:i w:val="0"/>
          <w:sz w:val="32"/>
        </w:rPr>
        <w:t>附录 C　本说明书的更新维护</w:t>
        <w:tab/>
        <w:t>37</w:t>
      </w: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一、系统概述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（一）系统定位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数据工具箱（DataToolbox）是一套面向业务人员与技术人员的一体化数据处理与治理平台，采用“单文件服务 + 浏览器界面”的轻量形态部署，无需安装数据库客户端，打开浏览器即可完成数据接入、查询、治理、分发与可视化。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平台的核心思路是“把日常的数据处理动作沉淀成可复用的任务”：一次写好处理逻辑，之后既可以手工上传文件执行，也可以定时自动执行，还可以注册成接口分发给其它系统调用。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（二）功能总览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平台顶部导航按模块划分，各模块的主要能力如下表所示。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主要能力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常用人群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数据库管理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接入多种数据库、浏览表结构与数据、执行 SQL、结果导出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技术/分析人员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数据治理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把数据加工逻辑固化为任务（定时/交互），支持文件解析、模板填充、AI 处理、接口分发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数据工程师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本体论抽象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从表结构抽取本体概念与关系，形成业务语义模型（默认隐藏，需在设置中开启）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数据架构师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数据血缘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展示表与表、表与任务之间的流转关系（默认隐藏，需在设置中开启）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数据治理人员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接口分发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管理已注册的对外接口、查看接口文档与在线调试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集成开发人员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Agent服务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 MCP 协议向智能体（Agent）暴露平台的数据库与治理能力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应用开发者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智能助手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与大模型对话，辅助生成 SQL、生成治理任务、解释数据口径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业务/技术通用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模型管理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维护可用的模型清单与调用参数（默认隐藏，需在设置中开启）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平台管理员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数据质量审核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按规则对数据填报情况做审核，输出审核结论与整改建议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业务主管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应用广场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一键启用预制的看板/表格类应用模板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业务人员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大屏编辑器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拖拽式拼装数据大屏（默认隐藏，需在设置中开启）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可视化人员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（三）运行环境与兼容性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要求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服务端操作系统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Linux（amd64/arm64）、Windows（amd64/arm64）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服务端资源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 2 核 4GB 及以上；纯前端执行的任务对服务端压力极小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浏览器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Chrome / Edge 100 及以上（推荐最新版）；不支持 IE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端口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默认 8080，可在 server.config.json 或启动参数中修改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默认使用内置文件型存储（data/data-store.json），无需额外安装数据库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可选外部依赖</w:t>
            </w:r>
          </w:p>
        </w:tc>
        <w:tc>
          <w:tcPr>
            <w:tcW w:type="dxa" w:w="652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如需 AI 能力，需配置一个 OpenAI 兼容的大模型服务地址与密钥</w:t>
            </w:r>
          </w:p>
        </w:tc>
      </w:tr>
    </w:tbl>
    <w:p>
      <w:pPr>
        <w:spacing w:after="80" w:line="240" w:lineRule="auto"/>
      </w:pP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二、安装与部署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（一）安装包内容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各平台发布包（ZIP / tar.gz）解压后目录结构基本一致，主要文件如下。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文件 / 目录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datatoolbox-server(.exe)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服务端主程序，双击或命令行启动即可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install.sh / update.sh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交互式安装脚本与更新脚本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server.config.json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服务配置（端口、监听地址）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README_DEPLOY.md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部署说明（命令行速查）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使用说明书.docx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本说明书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index.html、js/、css/、lib/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前端页面与静态资源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apps/、templates/、components/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子应用、看板模板与预制组件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scripts/、examples/、assets/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治理脚本、示例文件与静态资源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data/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数据目录（首次启动自动生成 data-store.json）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（二）Linux 安装（推荐使用脚本）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第一步，解压发布包并进入目录：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tar -xzf datatoolbox-linux-amd64.tar.gz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cd datatoolbox-linux-amd64</w:t>
      </w:r>
    </w:p>
    <w:p>
      <w:pPr>
        <w:spacing w:after="12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第二步，执行安装脚本，按提示回答：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chmod +x install.sh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./install.sh</w:t>
      </w:r>
    </w:p>
    <w:p>
      <w:pPr>
        <w:spacing w:after="12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脚本会依次询问安装目录（root 默认 /opt/datatoolbox，普通用户默认 ~/datatoolbox）、监听端口（默认 8080）、是否配置 systemd 服务与开机自启，并在完成后做端口连通性验证。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第三步，验证服务：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systemctl status datatoolbox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curl -I http://127.0.0.1:8080/</w:t>
      </w:r>
    </w:p>
    <w:p>
      <w:pPr>
        <w:spacing w:after="12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浏览器访问 http://服务器地址:8080，使用管理员账号登录即可（初始账号 admin / admin1234，首次登录后请立即修改密码）。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（三）Windows 安装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下载对应架构的 zip 包解压，双击 datatoolbox-server.exe 即可启动；如需开机自启，可将其注册为 Windows 服务（可用 nssm 等工具），或在“任务计划程序”中添加开机任务。启动后同样通过浏览器访问 http://127.0.0.1:8080。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（四）手动部署与启动参数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不依赖脚本时，编辑 server.config.json 后直接运行主程序：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{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 xml:space="preserve">  "port": 8080,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 xml:space="preserve">  "host": "0.0.0.0"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}</w:t>
      </w:r>
    </w:p>
    <w:p>
      <w:pPr>
        <w:spacing w:after="120" w:line="240" w:lineRule="auto"/>
      </w:pP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chmod +x datatoolbox-server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./datatoolbox-server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./datatoolbox-server -port 3000   # 命令行参数优先</w:t>
      </w:r>
    </w:p>
    <w:p>
      <w:pPr>
        <w:spacing w:after="12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服务日志默认输出到标准输出；使用 install.sh 配置 systemd 时，会写入日志目录（root 且安装到 /opt/datatoolbox 时为 /var/log/datatoolbox/server.log，否则为安装目录下 logs/server.log）。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（五）升级更新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升级只需替换程序与前端静态文件，数据保存在 data/ 目录不受影响。推荐使用更新脚本：</w:t>
      </w:r>
    </w:p>
    <w:p>
      <w:pPr>
        <w:spacing w:line="240" w:lineRule="auto" w:before="0" w:after="0"/>
        <w:ind w:left="425"/>
      </w:pPr>
      <w:r>
        <w:rPr>
          <w:rFonts w:ascii="Consolas" w:hAnsi="Consolas" w:eastAsia="Consolas"/>
          <w:b w:val="0"/>
          <w:i w:val="0"/>
          <w:sz w:val="24"/>
        </w:rPr>
        <w:t>./update.sh</w:t>
      </w:r>
    </w:p>
    <w:p>
      <w:pPr>
        <w:spacing w:after="12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手动升级时：停止服务 → 备份 data/ 与 server.config.json → 用新版本覆盖程序与前端文件 → 启动服务 → 浏览器强制刷新（Ctrl+F5）确认版本号。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（六）部署常见问题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现象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排查方向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页面打不开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确认服务进程存活、端口未被占用（netstat -lntp | grep 8080）、防火墙/安全组已放行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登录后空白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清理浏览器缓存并强制刷新；确认 index.html 与 js/ 目录为同一版本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上传大文件失败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确认磁盘空间、反向代理（Nginx）的 client_max_body_size 配置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功能不可用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在“设置 → LLM 配置”中检查 URL / API Key / 模型名是否正确，可点“自动获取模型列表”验证连通性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定时任务不执行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确认任务已启用、服务持续运行；查看任务执行日志</w:t>
            </w:r>
          </w:p>
        </w:tc>
      </w:tr>
    </w:tbl>
    <w:p>
      <w:pPr>
        <w:spacing w:after="80" w:line="240" w:lineRule="auto"/>
      </w:pP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三、登录与界面总览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（一）登录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在浏览器地址栏输入服务地址（如 http://127.0.0.1:8080）后进入登录页，输入用户名与密码即可进入系统。管理员初始账号为 admin / admin1234，首次登录后请及时修改密码。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　系统登录界面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（二）顶部导航与页面结构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登录后的主界面自上而下分为三个区域：顶部为系统名称、功能标签页与用户操作区；中部为各模块的工作区；底部与右侧为操作反馈（提示条、执行日志、结果表格等）。点击标签页即可切换模块，当前模块高亮显示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ta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2　主界面与顶部导航（以“数据库管理”为例）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（三）标签页的显示与排序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系统默认只显示常用模块，其余模块可按需开启。点击右上角“设置”按钮，在“标签页设置”区域勾选需要显示的模块、调整顺序或重命名，保存后立即生效。该设置按用户保存，不同账号互不影响。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ab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3　设置界面中的标签页显示与排序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（四）通用交互约定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1. 操作反馈：成功/失败均以右上角提示条呈现，失败时会给出原因。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2. 长任务：耗时操作（如 AI 生成、批量文件处理）会显示进度或流式输出，可等待完成后再操作其它模块。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3. 结果表格：查询或解析结果以表格形式展示，支持横向滚动，重要结果可导出为 Excel。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4. 浏览器建议：请勿使用 IE；版本升级后建议按 Ctrl+F5 强制刷新，避免加载到旧版静态资源。</w:t>
      </w: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四、数据库管理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（一）添加数据库连接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在“数据库管理”模块点击“添加数据库”，填写连接信息并保存：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名称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自定义的展示名称，建议体现业务含义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MySQL、PostgreSQL、SQL Server、Oracle、达梦、人大金仓等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 / 端口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数据库服务地址与端口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库名 / 用户名 / 密码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用于连接的库与账号；建议使用只读账号做查询类接入</w:t>
            </w:r>
          </w:p>
        </w:tc>
      </w:tr>
      <w:tr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备注</w:t>
            </w:r>
          </w:p>
        </w:tc>
        <w:tc>
          <w:tcPr>
            <w:tcW w:type="dxa" w:w="623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可选的用途说明，便于多人协作辨识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保存后可点击“测试连接”验证连通性；连接信息保存在服务端数据库中，请注意账号权限最小化，避免把高权限账号交给非管理员使用。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（二）表结构浏览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选中数据库后，左侧为表清单，右侧展示所选表的字段结构（字段名、类型、注释等）。支持按表名搜索、查看建表语句与字段口径，是编写数据治理任务时确认字段的依据。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（三）数据查询与结果导出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在 SQL 编辑区输入查询语句并执行，结果以表格返回；可将结果导出为 Excel，或一键“另存为治理任务”，把查询逻辑固化为可复用任务。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（四）数据安全建议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1. 生产库接入优先使用只读账号；需要写入时单独申请权限。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2. 定期检查已保存的连接与密码，人员变动后及时更换。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3. 导出文件含敏感数据时，请遵循单位的数据分级分类管理要求。</w:t>
      </w: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五、数据治理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数据治理是本平台使用频率最高的模块。它的本质是：把“拿到数据 → 清洗加工 → 生成结果/入库”这套动作写成一个任务，之后可以反复执行。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（一）两类任务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适用场景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执行触发方式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定时任务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周期性同步、汇总、抽取（如每天凌晨统计报表）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 Cron 表达式自动执行，也可手工点“运行”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交互任务</w:t>
            </w:r>
          </w:p>
        </w:tc>
        <w:tc>
          <w:tcPr>
            <w:tcW w:type="dxa" w:w="51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需要人工上传文件或粘贴文本后处理（如把 Word 公告转成 Excel）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上传文件/输入文本后点“执行任务”，也可点“运行”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（二）任务列表与新建任务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进入“数据治理”模块，左侧为任务列表，右侧为所选任务的详情。点击“新建任务”打开表单，各字段含义如下。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overnance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4　数据治理任务列表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任务名称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必填，建议体现“对象 + 动作 + 结果”，如“产品汇总Word生成（华东区）”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任务类型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定时任务 / 交互任务，决定执行方式与可配置项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任务描述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给同事看的说明，写清输入是什么、输出是什么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关联数据库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可选。关联后任务脚本中可用 gov.querySQL / gov.executeSQL 操作该库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Cron 表达式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定时任务专用，格式为“分 时 日 月 周”，如 0 2 * * * 表示每天 02:00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输入类型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交互任务专用：文件 / 文本 / 两者都要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允许的文件类型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交互任务专用，如 .docx,.xlsx,.csv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多文件模式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逐文件执行（per_file）或合并为一次执行（single，脚本中用 INPUT_FILES 取全部文件）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运行环境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前端（浏览器内执行）或后端运行器（服务端执行）</w:t>
            </w:r>
          </w:p>
        </w:tc>
      </w:tr>
      <w:tr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任务代码</w:t>
            </w:r>
          </w:p>
        </w:tc>
        <w:tc>
          <w:tcPr>
            <w:tcW w:type="dxa" w:w="674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JavaScript 逻辑，可调用平台内置的 gov.* API（见附录 A）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（三）任务详情页要素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选中任务后，详情页自上而下依次为：任务名称与操作按钮（编辑、运行、分享、复制、AI 新建、删除）、基本信息（类型、状态、Cron、关联数据库、最后运行时间）、数据输入区（交互任务）、任务代码折叠区、执行日志区。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ov-task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5　任务详情页（含“复制”“AI 新建”等操作按钮）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（四）运行任务与查看执行结果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点击“▶️ 运行”即可执行任务：带输入的任务会自动带上已选择的文件与文本；执行过程与结果输出在执行日志区，结构化结果会以表格形式预览，若生成了文件（如 Excel、Word），日志下方会出现下载入口。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gov-run-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6　执行日志与结果预览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（五）交互任务的输入方式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交互任务在“数据输入”区域提供输入：文件可拖拽或点击上传（支持多选），文本类任务提供多行输入框。多文件模式为“逐文件执行”时，每个文件单独跑一次任务；为“合并执行”时，全部文件一次性传给脚本，脚本中通过 INPUT_FILES 数组读取。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gov-input-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7　交互任务的文件上传与输入区域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（六）执行环境：前端与后端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运行环境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执行位置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特点与适用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前端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浏览器内执行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文件不上传服务端，适合含敏感数据的 Word/Excel 解析、模板填充；依赖浏览器性能，超大文件较慢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后端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服务端运行器</w:t>
            </w:r>
          </w:p>
        </w:tc>
        <w:tc>
          <w:tcPr>
            <w:tcW w:type="dxa" w:w="538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适合定时任务、大数据量处理、需要长期后台执行的场景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（七）内置示例任务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发布包自带一批可直接使用的示例任务，覆盖 Word/Excel/CSV 解析、模板填充、AI 抽取、定时检查等典型场景，可作为编写新任务的模板参考。示例任务的输入样例文件可在任务详情页“示例文件”处直接下载。详见附录 B。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（八）分享链接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对需要他人临时使用的任务，可点击“🔗 分享”生成分享链接。获得链接的人无需登录即可在受限页面提交输入并取回结果，适合一次性文件转换等场景。不需要时请及时关闭分享，避免链接外泄造成数据暴露。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（九）注册为 API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任务可注册为对外接口，供其它系统调用。注册后可在“接口分发”模块查看调用方式与在线调试。接口调用需要平台颁发的 API Key（在“设置 → API Key”中管理）。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（十）复制任务：一键派生同类任务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当需要“同样的逻辑、换一套参数”的任务时，不必从零编写：打开作为模板的任务，点击“📄 复制”，输入新任务名称即可生成一个副本。副本会完整继承原任务的代码与配置，但不会继承运行记录、分享链接与 API 注册，状态重置为待运行。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典型用法：以“产品汇总Word生成（套用表格模板）”为模板，复制出“产品汇总Word生成（华东区）”，再进入“编辑”微调输出文件名或列定义。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（十一）AI 新建任务：先问清需求，再生成任务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对于“想要一个新任务、但不确定怎么改代码”的场景，可使用“✨ AI 新建”。它不是让 AI 凭空造一个任务，而是以当前任务为模板，分三步完成：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第一步（AI 提问）：AI 先阅读模板任务的说明与代码，然后针对这个模板提出 3～6 个问题，例如“要抽取的字段与模板有何不同”“输出文件名与格式”“是单文件还是多文件”“是否需要调用 AI”。不同模板问的问题不同，因为这些差异点本身就是任务特异化的地方。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第二步（填写需求）：逐条回答问题，回答越具体，生成结果越贴合预期。例如写明“每个产品单独一张表格，套用模板样式”，而不要只写“格式好看一点”。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第三步（生成并保存）：AI 生成任务名称、说明与完整代码，界面会展示代码预览，确认无误后点击“保存为新任务”。保存后仍可用“编辑”继续微调，或直接运行验证。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i-clone-step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8　AI 新建向导第一步：由 AI 针对模板提问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i-clone-ques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9　AI 新建向导第二步：填写需求回答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i-clone-gener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10　AI 新建向导第三步：生成任务代码并预览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（十二）编写任务脚本的注意事项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1. 先读样例、再动手：优先复制一个功能相近的示例任务改，而不是从空白写起。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2. 用 gov.log 输出关键中间结果，便于排查；结构化结果用 gov.showTable 展示。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3. 文件读取/写入遵守同一套 API（gov.readWord / gov.writeExcel / gov.word 等），不要引入模板里没有用过的第三方库。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4. 多文件任务注意 INPUT_FILES 与单文件变量 INPUT_FILE 的区别。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5. 涉及数据库写入的任务，先在测试库验证，避免误写生产数据。</w:t>
      </w: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六、本体论抽象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本体论抽象把数据库结构“升华”为业务语义知识图谱：AI 从表名、字段与注释中识别概念（实体）与关系，构建实体间的语义关联网络，并主动发现命名冲突、口径不一致等治理风险。界面提供概念数、关系数、风险数统计，支持 2D/3D 图谱切换、AI 智能提取、关系扫描与演示场景。该模块默认隐藏，可在“设置 → 标签页设置”中开启。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ntolo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11　本体论抽象（知识图谱）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七、数据血缘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数据血缘用于回答“这张表的数据从哪来、又被谁引用”。选择数据库后点击“分析 / 刷新”，平台会基于外键约束生成血缘关系图（箭头从被引用表指向引用表，即数据流向），并在下方列出外键明细。评估表结构变更影响范围时，先看血缘是最稳妥的做法。该模块默认隐藏，可在“设置 → 标签页设置”中开启。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ne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12　数据血缘分析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八、接口分发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接口分发把平台的数据库与治理能力以接口形式对外提供。界面左侧为“平台 / 接口”两级清单，右侧为接口详情：接口名称、启用状态、接口路径、请求方法、接口类型、关联数据库、转发 URL、SQL 语句、参数说明与调用示例，并提供“🧪 测试”做在线调试。接口 Key 在“设置 → API Key”中管理，与 Agent 服务共用。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p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13　接口分发与接口详情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九、Agent 服务（MCP）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Agent 服务通过 MCP（Model Context Protocol）协议把数据工具箱接入各种智能体客户端（Cursor、Claude Desktop、Cherry Studio、Dify 等），让智能体可以直接查询数据库、读取表结构、调用平台接口。页面提供：启用开关、连接信息（服务地址 / API Key / MCP 端口）、按客户端一键生成配置片段、以及安全配置（如只读模式，仅允许执行查询类语句）。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使用步骤：启用 MCP → 生成并复制 API Key → 选择客户端复制配置 → 在客户端中验证连通性。MCP 端口留空或填 0 表示复用主服务器端口，修改后需重启服务生效。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g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14　Agent 服务（MCP）配置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十、智能助手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（一）模型配置与自动获取模型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首次使用需在“设置 → LLM 配置”中填写 AI 服务 URL、API Key 与模型名称。为减少手误，模型名称支持“🔄 自动获取模型列表”：点击后平台自动访问上游服务的模型清单接口，把可用模型灌入下拉候选，既可以下拉选择，也可以继续手工输入。向量（Embedding）模型一栏同样支持自动获取，且 Key 留空时自动复用上面的主 Key。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i-setting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15　LLM 配置与“自动获取模型列表”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“模型管理”模块另提供模型清单维护：大模型管理用于配置 LLM、Rerank、向量化、语音识别等 AI 服务的转发接口；小模型管理用于把自定义数据处理逻辑（JavaScript）注册成可被引用的处理步骤。该模块默认隐藏，可在“设置 → 标签页设置”中开启。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（二）能力检测与开关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配置保存后平台会探测模型能力（函数调用、流式输出、JSON 模式、思考模式等），并给出上下文窗口建议值。若上游服务对某些参数兼容性不佳，可手动关闭对应开关。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（三）表检索（RAG）配置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当数据库中表数量较多时，全量表结构会占用大量上下文。可在设置中启用表检索，让平台在对话或生成任务前先筛选出相关表再交给模型，既省成本也更准确。检索策略支持关键词、向量、图谱与混合模式，可调整返回表数量与各策略权重。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（四）对话使用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在“智能助手”标签页中可直接对话：输入 @ 可以引用某个数据库或模块，界面也提供“看看我有哪些数据”“这个表长什么样”“做个数据看板”“查一下最近异常”“帮我创建一个接口”等快捷入口。涉及写库或对外发送的操作，平台仍会要求人工确认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i-assista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16　智能助手对话界面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十一、模型管理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模型管理分为“大模型”和“小模型”：大模型用于配置 LLM、Rerank、向量化、语音识别等AI 服务的转发接口；小模型用 JavaScript 实现自定义数据处理逻辑，可调用已注册的数据库，相当于把一段固定的加工逻辑封装成可复用的“处理单元”。该模块默认隐藏，可在设置中开启。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e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17　模型管理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十二、数据质量审核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数据质量审核面向“填报类”数据，由四个部分组成：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1. 规则配置（规则树）：按 NM（6 位编码）/ XH（层级编码）/ 名称 / 类别 / SQL / 参数 / AI 复核原则维护规则，支持下载模板后批量粘贴导入或从 Excel 导入，SQL 用 Oracle 方言编写并由平台自动转换方言；SQL 中用 {{占位符}} 表示待填参数，未填参数的规则会直接报“参数未配置”，避免出现难懂的语法报错。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2. 定时任务：按周期自动执行审核规则，并可按周期统计填报完成情况。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3. 执行记录：查看每次审核的执行结果与问题清单，逐级定位到具体数据项。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4. 报告模板：定义审核报告的呈现格式，便于导出与上报。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quali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18　数据质量审核（规则配置，含“AI 复核原则”）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（一）SQL 审核 + AI 复核：两层判定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一条规则的判定分两层。第一层是 SQL 审核：执行规则中的 SQL，查出违规行即判为“不通过”。第二层是 AI 复核（可选）：只有当规则本身填写了“AI 复核原则”时才会触发——审核不通过时，平台把这段原则、规则 SQL、执行结果一并交给大模型，判断“这次不通过是不是规则过严导致的误判”，并给出置信度、理由与规则修改建议。这样可以把“数据真有问题”和“规则写得过严”区分开，减少无谓的整改通知。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AI 复核原则的填写与维护有两种方式：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· 批量导入：在导入表最后增加一列「AI复核原则」（第 7 列，可选），表头写“AI复核原则”或“人工审核规则”均可，列顺序可调；下载的导入模板已带该列说明。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· 单条维护：在规则编辑表单中直接填写“AI 复核原则”输入框，适用少量调整。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关于兼容性与费用，请留意：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· 旧的 5 列 / 6 列导入文件照常导入，缺该列时该规则不做 AI 复核（留空即等于以 SQL 结果为准）。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· 留空的规则完全不调用大模型，不产生调用费用。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· AI 结论仅供参考：报告中每条 AI 结论都标注“※ 本条须由人类专家最终校核”，不能作为最终定论。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AI 复核是“按规则开关”的，两个执行入口都要打开对应开关才会生效：手动一键审核时勾选“启用 AI 校核”；定时任务在任务弹窗中勾选“启用 AI 校核”（默认开启）。若某次执行未启用，结果与报告中会明确提示“本次未启用 AI 校核”，不会出现看似复核过、实为旧结论的情况。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qa-ai-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19　审核结果中的“SQL 审核结果”与“AI 复核结论”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（二）定时任务的审核项与开关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定时任务弹窗中的审核项规则树只保留一列「执行」：勾选即代表该规则参与本次审核。某条规则是否送 AI 复核，由“规则自带的复核原则 + 任务级的启用 AI 校核”共同决定，不需要在任务里逐条重复勾选，规则调整后任务自动跟随。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qa-schedul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20　定时任务：审核项单列勾选与“启用 AI 校核”</w:t>
      </w:r>
    </w:p>
    <w:p>
      <w:pPr>
        <w:spacing w:lineRule="exact" w:line="560" w:before="0" w:after="0"/>
        <w:jc w:val="left"/>
        <w:ind w:firstLineChars="200" w:firstLine="0"/>
        <w:outlineLvl w:val="1"/>
      </w:pPr>
      <w:r>
        <w:rPr>
          <w:rFonts w:ascii="Times New Roman" w:hAnsi="Times New Roman" w:eastAsia="楷体_GB2312"/>
          <w:b/>
          <w:i w:val="0"/>
          <w:sz w:val="32"/>
        </w:rPr>
        <w:t>（三）结果的显示顺序与超时重试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审核结果是并发执行的（最多 5 条规则同时跑），谁先跑完谁先出结果。为了让界面上的次序和规则树对得上，结果一律按 XH（层级编码）排序展示：你在规则树里看到的第几条，在审核结果里就是第几条；XH 相同的再按 NM 排，所以同一次审核多次打开顺序完全一致，不用逐行扫着找某条规则。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单条规则的 SQL 默认有 30 秒执行上限。若某条规则因超时被中断，平台会自动放宽上限重试（30 秒 → 60 秒 → 120 秒，最多重试 2 次）。重试只发生在“超时”这一种情况：语法错误、参数未配置、权限不足等错误不会重试（重试也还是同样的报错，只会白等）。发生过重试的规则会在结果里标注“超时重试 N 次”及具体过程——它比别的规则耗时更长是重试造成的，不是卡死；点“取消”时正在重试的规则会立即停止，不会再继续占用数据库。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十三、应用广场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应用广场用于创建与管理自定义应用，支持纯前端的 HTML + CSS + JS 应用：新建应用后可在线编辑页面代码、绑定数据、预览效果，并可将应用设为公开访问，把地址分享给同事或嵌入其它系统。平台同时提供预制看板模板，可作为起步脚手架。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pp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21　应用广场</w:t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十四、大屏编辑器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大屏编辑器用于拼装数据大屏：从组件库中拖入图表、表格、指标卡等组件，绑定数据源后调整布局与样式，支持保存、预览与分享。组件与模板均在本地打包，无需联网即可使用。该模块默认隐藏，可在“设置 → 标签页设置”中开启。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ab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jc w:val="center"/>
      </w:pPr>
      <w:r>
        <w:rPr>
          <w:rFonts w:ascii="Times New Roman" w:hAnsi="Times New Roman" w:eastAsia="楷体_GB2312"/>
          <w:b w:val="0"/>
          <w:i w:val="0"/>
          <w:color w:val="404040"/>
          <w:sz w:val="21"/>
        </w:rPr>
        <w:t>图 22　大屏编辑器</w:t>
      </w:r>
    </w:p>
    <w:p>
      <w:r>
        <w:br w:type="page"/>
      </w:r>
    </w:p>
    <w:p>
      <w:pPr>
        <w:spacing w:lineRule="exact" w:line="56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2"/>
        </w:rPr>
        <w:t>十五、常见问题与故障排查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1. 运行任务时提示“请上传文件”？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说明任务需要输入。请在“数据输入”区域选择文件或粘贴文本后再运行；合并执行的任务需要把全部相关文件一次性选中。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2. 任务执行成功但输出文件为空/格式不符？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先看执行日志中的解析条数是否符合预期。若输入文件结构与示例不同，需要调整脚本中的解析规则；也可用“AI 新建”基于现有任务生成一版再微调。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3. AI 相关功能报错？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在“设置 → LLM 配置”中核对 URL、Key 与模型名；点击“自动获取模型列表”可快速判断是网络问题还是配置问题。模型名写错是最常见原因。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4. 升级后界面没有变化？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浏览器缓存了旧版静态文件。按 Ctrl+F5 强制刷新；安装新版本时请确保 index.html 与 js/、css/ 目录同时更新。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5. 分享链接是否需要收回？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需要。分享链接不要求登录，用完请在任务详情页关闭分享。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6. 某条规则为什么没有 AI 复核结论？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两种常见原因：该规则没有填写“AI 复核原则”（留空即以 SQL 审核结果为准，不调用 AI）；或本次执行没有勾选“启用 AI 校核”。报告与结果区会写明未启用的原因，便于核对。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7. AI 判断为“疑似规则过严误判”，可以直接不改数据吗？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不可以。AI 结论仅供参考，须由业务/数据专家结合规则口径复核后决定：确属误判就修改规则（如增加可空字段白名单、放开阈值），确属数据问题则照常整改。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8. 如何备份数据？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停止服务后备份 data/ 目录（含 data-store.json）与 server.config.json 即可；恢复时覆盖回原位置再启动服务。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9. 某条规则耗时明显更长，或提示“超时重试 N 次仍超时”？</w:t>
      </w:r>
    </w:p>
    <w:p>
      <w:pPr>
        <w:spacing w:lineRule="exact" w:line="560" w:before="0" w:after="0"/>
        <w:jc w:val="both"/>
        <w:ind/>
      </w:pPr>
      <w:r>
        <w:rPr>
          <w:rFonts w:ascii="Times New Roman" w:hAnsi="Times New Roman" w:eastAsia="仿宋_GB2312"/>
          <w:b w:val="0"/>
          <w:i w:val="0"/>
          <w:sz w:val="32"/>
        </w:rPr>
        <w:t xml:space="preserve">　　该规则首次执行超时，平台已自动放宽上限重试（最长 120 秒，最多重试 2 次），所以比其它规则慢，属于正常自愈；重试后仍超时说明这条 SQL 本身太慢，建议补过滤条件或走索引后再跑。若整轮审核都变慢，先看是不是规则数变多、并发（最多 5 路）被占满。</w:t>
      </w:r>
    </w:p>
    <w:p>
      <w:pPr>
        <w:spacing w:lineRule="exact" w:line="60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6"/>
        </w:rPr>
        <w:t>附录 A　治理任务内置 API（gov.*）速查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下表为治理任务脚本中可直接使用的主要接口，更完整的说明见平台内“接口分发 → API 参考”。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接口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gov.log(msg)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向执行日志输出一行信息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gov.showTable(data)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以表格形式预览结构化结果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gov.readExcel(file)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 Excel，返回工作簿对象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gov.readCSV(text)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 CSV 文本为二维数组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gov.readWord(file)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 Word 正文，返回 { value }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gov.readWordTables(file)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 Word 中的表格（含列宽、样式），用于套用模板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gov.word()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Word 构建器：heading / paragraph / table / tableFromTemplate / save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gov.writeExcel(name, data, opts?)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写出 Excel（支持单元格样式）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gov.writeCSV(name, data)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写出 CSV 文件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gov.writeText(name, content)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写出纯文本文件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gov.writeJSON(name, data)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写出 JSON 文件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gov.fillWordTemplate(tpl, data, out)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按模板填充 Word 并输出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gov.fillExcelTemplate(tpl, data, out)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按模板填充 Excel 并输出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gov.parseFilename(name, opts?)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从文件名解析单位与日期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gov.parseWordStructure(file, opts?)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 Word 的标题层级结构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gov.callAI(prompt)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调用已配置的大模型，返回文本结果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gov.getDbType()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获取当前关联数据库类型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gov.getDatabases()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列出可用数据库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gov.querySQL(sql, params?)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在当前数据库执行查询，返回行数组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gov.executeSQL(sql, params?)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在当前数据库执行写入，返回影响行数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gov.querySQLForDb(dbId, sql, params?)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在指定数据库执行查询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gov.executeSQLForDb(dbId, sql, params?)</w:t>
            </w:r>
          </w:p>
        </w:tc>
        <w:tc>
          <w:tcPr>
            <w:tcW w:type="dxa" w:w="527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在指定数据库执行写入</w:t>
            </w:r>
          </w:p>
        </w:tc>
      </w:tr>
    </w:tbl>
    <w:p>
      <w:pPr>
        <w:spacing w:after="80" w:line="240" w:lineRule="auto"/>
      </w:pPr>
    </w:p>
    <w:p>
      <w:pPr>
        <w:spacing w:lineRule="exact" w:line="60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6"/>
        </w:rPr>
        <w:t>附录 B　内置示例任务速查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示例任务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输入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输出 / 用途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产品汇总Word生成（套用表格模板）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表格模板 Word + 产品介绍 Word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套用模板样式的产品汇总 Word（每个产品一张表）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公文Word转Excel（正则抽取）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公文类 Word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按正则规则抽取要素，输出 Excel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公文Word转Excel（AI抽取）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公文类 Word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 AI 理解正文后抽取要素，输出 Excel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Word文档内容提取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Word 文件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提取正文与结构，便于后续加工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Excel数据解析入库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Excel 文件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解析并写入指定数据库表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CSV文本解析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CSV 文件或文本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解析为结构化数据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国际新闻入库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新闻文本/文件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整理后入库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综合日报生成器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多个日报 Word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合并生成综合日报（合并执行模式）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数据完整性检查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—（定时）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定时巡检数据完整性并输出结论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数据库表行数统计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—（定时）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定时统计表行数，用于监控数据增长</w:t>
            </w:r>
          </w:p>
        </w:tc>
      </w:tr>
      <w:tr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测试任务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用于验证环境与脚本的最小示例</w:t>
            </w:r>
          </w:p>
        </w:tc>
      </w:tr>
    </w:tbl>
    <w:p>
      <w:pPr>
        <w:spacing w:after="80" w:line="240" w:lineRule="auto"/>
      </w:pP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提示：示例任务可直接“运行”查看效果，也可用“📄 复制”或“✨ AI 新建”派生出符合自身业务的新任务。</w:t>
      </w:r>
    </w:p>
    <w:p>
      <w:pPr>
        <w:spacing w:lineRule="exact" w:line="600" w:before="0" w:after="200"/>
        <w:jc w:val="left"/>
        <w:ind w:firstLineChars="200" w:firstLine="0"/>
        <w:outlineLvl w:val="0"/>
      </w:pPr>
      <w:r>
        <w:rPr>
          <w:rFonts w:ascii="Times New Roman" w:hAnsi="Times New Roman" w:eastAsia="黑体"/>
          <w:b w:val="0"/>
          <w:i w:val="0"/>
          <w:sz w:val="36"/>
        </w:rPr>
        <w:t>附录 C　本说明书的更新维护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本说明书随版本发布一并打包，目录下的“使用说明书.docx”即为当前版本。为确保说明与系统功能始终一致，更新约定如下：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1. 新增或调整功能时，同步修改 docs/manual/build_manual.py 中的对应章节文字与表格。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2. 界面发生变化时，重新运行 docs/manual/take_screenshots.js 抓取最新截图，再重新生成说明书。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3. 生成命令：python3 docs/manual/build_manual.py，输出到 docs/使用说明书.docx。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4. 发布流水线会在打包时自动重新生成说明书，并放入安装包根目录。</w:t>
      </w:r>
    </w:p>
    <w:p>
      <w:pPr>
        <w:spacing w:lineRule="exact" w:line="560" w:before="0" w:after="0"/>
        <w:jc w:val="both"/>
        <w:ind w:firstLineChars="200" w:firstLine="0"/>
      </w:pPr>
      <w:r>
        <w:rPr>
          <w:rFonts w:ascii="Times New Roman" w:hAnsi="Times New Roman" w:eastAsia="仿宋_GB2312"/>
          <w:b w:val="0"/>
          <w:i w:val="0"/>
          <w:sz w:val="32"/>
        </w:rPr>
        <w:t>5. 每次发布前确认：版本号、示例任务清单、界面截图三处与系统实际一致。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850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