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</w:pPr>
      <w:r>
        <w:rPr>
          <w:rFonts w:ascii="方正小标宋简体" w:hAnsi="方正小标宋简体" w:eastAsia="方正小标宋简体"/>
          <w:b/>
          <w:sz w:val="44"/>
        </w:rPr>
        <w:t>国际新闻与运输情况通报</w:t>
      </w:r>
    </w:p>
    <w:p>
      <w:pPr>
        <w:spacing w:before="0" w:after="120" w:line="560" w:lineRule="exact"/>
        <w:jc w:val="center"/>
      </w:pPr>
      <w:r>
        <w:rPr>
          <w:rFonts w:ascii="仿宋" w:hAnsi="仿宋" w:eastAsia="仿宋"/>
          <w:b w:val="0"/>
          <w:sz w:val="28"/>
        </w:rPr>
        <w:t>（模拟数据 仅供测试使用）</w:t>
      </w:r>
    </w:p>
    <w:p>
      <w:pPr>
        <w:spacing w:before="0" w:after="120"/>
        <w:jc w:val="center"/>
      </w:pPr>
      <w:r>
        <w:rPr>
          <w:rFonts w:ascii="仿宋" w:hAnsi="仿宋" w:eastAsia="仿宋"/>
          <w:b w:val="0"/>
          <w:sz w:val="28"/>
        </w:rPr>
        <w:t>〔2026〕第 07 号</w:t>
      </w:r>
    </w:p>
    <w:p>
      <w:pPr>
        <w:spacing w:before="0" w:after="200"/>
        <w:pBdr>
          <w:bottom w:val="single" w:sz="12" w:space="1" w:color="FF0000"/>
        </w:pBdr>
      </w:pPr>
    </w:p>
    <w:p>
      <w:pPr>
        <w:spacing w:before="0" w:after="120"/>
        <w:jc w:val="right"/>
      </w:pPr>
      <w:r>
        <w:rPr>
          <w:rFonts w:ascii="黑体" w:hAnsi="黑体" w:eastAsia="黑体"/>
          <w:b w:val="0"/>
          <w:color w:val="FF0000"/>
          <w:sz w:val="24"/>
        </w:rPr>
        <w:t>★内部资料 模拟数据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根据相关工作安排，现将本期国际新闻动态及各区域运输保障情况通报如下。本文件所载全部数据均为计算机生成的模拟数据，不代表任何真实事件或实际运输情况，仅用于非结构化数据结构化入库的技术验证与演示。</w:t>
      </w:r>
    </w:p>
    <w:p>
      <w:pPr>
        <w:spacing w:before="240" w:after="120" w:line="560" w:lineRule="exact"/>
        <w:ind w:firstLine="839"/>
      </w:pPr>
      <w:r>
        <w:rPr>
          <w:rFonts w:ascii="黑体" w:hAnsi="黑体" w:eastAsia="黑体"/>
          <w:b/>
          <w:sz w:val="32"/>
        </w:rPr>
        <w:t>一、国际新闻动态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（一）亚洲地区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2026年4月20日，日本东京都知事宣布启动新一轮城市更新计划，预计投资3.2万亿日元用于老旧基础设施改造与防灾能力提升，重点关注东京湾沿岸区域的防洪设施升级。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韩国产业通商资源部4月21日发布数据，今年第一季度半导体出口额同比增长18.7%，其中对华出口占比达34.2%，AI芯片需求持续拉动增长。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印度国防部4月19日证实，已成功完成国产第五代战斗机AMCA的第二次试飞，标志着印度自主隐身战机研发进入加速阶段。该型战机预计2032年前后具备初始作战能力。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（二）欧洲地区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欧盟委员会4月22日通过《绿色工业转型法案》修正案，要求成员国在2030年前将工业碳排放强度降低42%，并设立500亿欧元转型基金支援高耗能企业技术改造。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英国国防部4月20日宣布，将向北约快速反应部队增派1500名陆军人员及配套装备，以强化东翼防御态势。此次部署涵盖装甲侦察、工兵和后勤保障等多个兵种。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法国总统4月21日与德国总理举行双边会晤，双方就欧洲防空体系共建达成初步框架协议，计划在2028年前完成联合空中监视网络的第一阶段部署。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（三）中东与非洲地区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沙特阿拉伯4月18日宣布"愿景2030"框架下的NEOM新城首期居住区完工，首批1.2万名居民将于今年第三季度入驻，配套设施包括智能交通系统和全区域5G覆盖。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非洲联盟第38届首脑会议4月19日在亚的斯亚贝巴闭幕，会议通过《非洲大陆自由贸易区单一市场路线图》，计划在2028年前实现成员国间90%商品的零关税流通。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以色列与阿联酋4月22日签署双边航空协定修正案，将双方直飞航班配额由每周28班提升至50班，并开放第五航权以促进中东地区航空互联互通。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（四）美洲地区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美国国防部4月21日发布《2026年度中国军力报告》，评估了中国海军新型驱逐舰的远洋作战能力及南海岛礁建设进展。报告同时指出中国高超音速武器试射频次较上年增加了约40%。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巴西总统4月20日签署《亚马孙雨林可持续开发令》，在强化生态保护区管控的同时，允许部分区域开展限定规模的林下经济和生态旅游项目。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加拿大国防部4月19日确认采购88架F-35A战斗机的合同进入履约阶段，首架预计2028年交付，用于替换现役的CF-18机队，总合同金额约190亿加元。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（五）大洋洲地区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澳大利亚外交贸易部4月22日发布《印太经济框架年度评估报告》，指出澳方已与12个伙伴经济体达成数字贸易标准互认协议，区域数字服务出口额同比增长27%。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新西兰国防军4月20日宣布完成南太平洋海域联合巡逻任务，与斐济、汤加海军累计执行巡逻138批次，查处非法渔业活动17起。</w:t>
      </w:r>
    </w:p>
    <w:p>
      <w:pPr>
        <w:spacing w:before="240" w:after="120" w:line="560" w:lineRule="exact"/>
        <w:ind w:firstLine="839"/>
      </w:pPr>
      <w:r>
        <w:rPr>
          <w:rFonts w:ascii="黑体" w:hAnsi="黑体" w:eastAsia="黑体"/>
          <w:b/>
          <w:sz w:val="32"/>
        </w:rPr>
        <w:t>二、各区域运输保障情况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以下运输数据均为模拟生成，仅用于数据结构化入库技术验证，不代表任何实际军事或民用运输行动。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（一）亚洲地区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1. 海上运输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（1）驱逐舰/护卫舰：052D型驱逐舰出动4批次12架次，054A型护卫舰出动6批次18架次，"世宗大王"级驱逐舰出动2批次6架次，"秋月"级护卫舰出动3批次8架次。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（2）两栖舰艇：071型船坞登陆舰出动2批次4架次，"大隅"级坦克登陆舰出动1批次2架次，"独岛"号两栖攻击舰出动1批次2架次。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（3）补给与辅助舰：901型综合补给舰出动3批次6架次，903型补给舰出动2批次5架次。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2. 空中运输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（1）运输机：运-20大型运输机出动8批次24架次，C-130J运输机出动5批次15架次，伊尔-76MD运输机出动3批次9架次，C-2运输机出动2批次4架次。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（2）空中加油/预警：运油-20加油机出动4批次8架次，空警-500预警机出动6批次12架次，E-767空中预警机出动2批次4架次。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（3）战斗机保障：歼-16出动12批次36架次，歼-10C出动8批次24架次，F-15J出动5批次15架次，F-16V出动6批次18架次。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3. 陆上运输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（1）重型装备运输：HT-230型重型平板运输车出动5批次10架次，主要用于主战坦克及自行火炮的公路远程投送。东风重卡军用运输车出动8批次20架次，承担弹药与油料前送任务。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（2）铁路运输：CR200J型动力集中式动车组出动6批次12架次，执行人员快速投送。NX70型平车-集装箱两用车出动4批次8架次，承担重型装备铁路输送。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（二）欧洲地区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1. 海上运输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（1）驱逐舰/护卫舰：45型驱逐舰出动3批次9架次，FREMM级护卫舰出动4批次12架次，"萨克森"级护卫舰出动2批次6架次，F125型护卫舰出动2批次4架次。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（2）航母/两栖："伊丽莎白女王"号航母出动1批次1架次（含舰载机联队F-35B 8批次24架次），"西北风"级两栖攻击舰出动2批次4架次。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（3）补给舰：维多利亚堡级综合补给舰出动3批次6架次，柏林级补给舰出动2批次4架次。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2. 空中运输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（1）运输机：A400M Atlas运输机出动6批次18架次，C-130J运输机出动4批次12架次，安-124运输机出动2批次4架次。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（2）战斗机保障："台风"EF-2000出动10批次30架次，"阵风"出动6批次18架次，F-35A出动4批次12架次。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3. 陆上运输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（1）重型装备运输：MAN HX77军用运输车出动7批次14架次，M1097重型高机动运输车出动9批次22架次。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（2）铁路运输：欧洲快速军事列车（EuroForce Express）出动5批次10架次，用于人员与轻型装备的跨国境快速投送。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（三）中东与非洲地区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1. 海上运输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（1）护卫舰/巡逻舰："穆莱·伊斯梅尔"级护卫舰出动2批次6架次，"拜努纳"级巡逻舰出动3批次9架次，"萨尔5"型护卫舰出动4批次10架次。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（2）两栖/登陆："海蛞蝓"级两栖登陆舰出动1批次2架次，"闪电"级登陆艇出动5批次12架次。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2. 空中运输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（1）运输机：C-17A"环球霸王III"出动7批次21架次，C-130H运输机出动5批次15架次，伊尔-76TD运输机出动4批次10架次。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（2）战斗机保障：F-16C/D出动8批次24架次，F-15SA出动5批次15架次，"狂风"IDS出动3批次9架次。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3. 陆上运输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（1）重型装备运输：Tatra T815军用运输车出动6批次15架次，主要用于沙漠地形的重型装备前送。乌拉尔-4320军用卡车出动10批次28架次。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（四）美洲地区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1. 海上运输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（1）驱逐舰/巡洋舰：DDG-51"阿利·伯克"级驱逐舰出动5批次15架次，CG-47"提康德罗加"级巡洋舰出动2批次4架次，"圣安东尼奥"级船坞登陆舰出动3批次6架次。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（2）航母打击群："尼米兹"号航母打击群出动1批次1架次（含舰载机联队F/A-18E/F 10批次30架次、E-2D 4批次8架次、EA-18G 3批次6架次）。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2. 空中运输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（1）运输机：C-17A"环球霸王III"出动12批次36架次，C-5M"超级银河"出动3批次6架次，KC-46A加油机出动8批次16架次。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（2）战斗机保障：F-22A出动4批次8架次，F-35A出动6批次18架次，F-15E出动7批次21架次。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3. 陆上运输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（1）重型装备运输：M977 HEMTT重型运输车出动8批次20架次，M1070重型装备运输车出动6批次12架次。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（2）铁路运输：美国军用铁路中队出动4批次列次，承担M1A2主战坦克及配套装备的跨州远程输送。</w:t>
      </w:r>
    </w:p>
    <w:p>
      <w:pPr>
        <w:spacing w:before="240" w:after="120" w:line="560" w:lineRule="exact"/>
        <w:ind w:firstLine="839"/>
      </w:pPr>
      <w:r>
        <w:rPr>
          <w:rFonts w:ascii="楷体" w:hAnsi="楷体" w:eastAsia="楷体"/>
          <w:b/>
          <w:sz w:val="32"/>
        </w:rPr>
        <w:t>（五）大洋洲地区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1. 海上运输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（1）护卫舰："澳新军团"级护卫舰出动4批次10架次，"堪培拉"级两栖攻击舰出动2批次4架次。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（2）巡逻舰："澳新军团"级近海巡逻舰出动6批次18架次，主要用于南太平洋专属经济区巡航。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2. 空中运输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（1）运输机：C-17A出动4批次8架次，C-130J出动3批次9架次，主要用于南太岛国人道主义物资投送。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（2）战斗机保障：F-35A出动3批次6架次，F/A-18F出动5批次15架次。</w:t>
      </w:r>
    </w:p>
    <w:p>
      <w:pPr>
        <w:spacing w:line="560" w:lineRule="exact" w:before="120"/>
        <w:ind w:firstLine="839"/>
      </w:pPr>
      <w:r>
        <w:rPr>
          <w:rFonts w:ascii="楷体" w:hAnsi="楷体" w:eastAsia="楷体"/>
          <w:b/>
          <w:sz w:val="32"/>
        </w:rPr>
        <w:t>3. 陆上运输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  <w:t>（1）车辆运输：澳大利亚陆军新型HX77军用运输车出动5批次12架次，新西兰NZLAV轮式装甲车出动3批次8架次。</w:t>
      </w:r>
    </w:p>
    <w:p>
      <w:pPr>
        <w:spacing w:line="560" w:lineRule="exact"/>
        <w:ind w:firstLine="839"/>
      </w:pPr>
      <w:r>
        <w:rPr>
          <w:rFonts w:ascii="仿宋" w:hAnsi="仿宋" w:eastAsia="仿宋"/>
          <w:b w:val="0"/>
          <w:sz w:val="32"/>
        </w:rPr>
      </w:r>
    </w:p>
    <w:p>
      <w:pPr>
        <w:spacing w:before="480" w:line="560" w:lineRule="exact"/>
      </w:pPr>
      <w:r>
        <w:rPr>
          <w:rFonts w:ascii="楷体" w:hAnsi="楷体" w:eastAsia="楷体"/>
          <w:b w:val="0"/>
          <w:color w:val="FF0000"/>
          <w:sz w:val="28"/>
        </w:rPr>
        <w:t>【声明】本文档所含全部数据均为计算机模拟生成，不代表任何真实国际事件、军事行动或运输安排。本文件仅用于非结构化数据结构化入库的技术验证与功能演示，请勿作为任何实际决策参考依据。</w:t>
      </w:r>
    </w:p>
    <w:p>
      <w:pPr>
        <w:spacing w:before="480" w:line="560" w:lineRule="exact"/>
        <w:jc w:val="right"/>
      </w:pPr>
      <w:r>
        <w:rPr>
          <w:rFonts w:ascii="仿宋" w:hAnsi="仿宋" w:eastAsia="仿宋"/>
          <w:b w:val="0"/>
          <w:sz w:val="32"/>
        </w:rPr>
        <w:t>模拟数据生成中心</w:t>
      </w:r>
    </w:p>
    <w:p>
      <w:pPr>
        <w:spacing w:line="560" w:lineRule="exact"/>
        <w:jc w:val="right"/>
      </w:pPr>
      <w:r>
        <w:rPr>
          <w:rFonts w:ascii="仿宋" w:hAnsi="仿宋" w:eastAsia="仿宋"/>
          <w:b w:val="0"/>
          <w:sz w:val="32"/>
        </w:rPr>
        <w:t>2026年4月23日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