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680" w:before="1200" w:after="480"/>
        <w:jc w:val="center"/>
      </w:pPr>
      <w:r>
        <w:rPr>
          <w:rFonts w:ascii="Times New Roman" w:hAnsi="Times New Roman" w:eastAsia="方正小标宋简体"/>
          <w:b w:val="0"/>
          <w:i w:val="0"/>
          <w:sz w:val="44"/>
        </w:rPr>
        <w:t>数据工具箱使用说明书</w:t>
      </w:r>
    </w:p>
    <w:p>
      <w:pPr>
        <w:spacing w:lineRule="exact" w:line="560" w:before="0" w:after="120"/>
        <w:jc w:val="center"/>
        <w:ind/>
      </w:pPr>
      <w:r>
        <w:rPr>
          <w:rFonts w:ascii="Times New Roman" w:hAnsi="Times New Roman" w:eastAsia="楷体_GB2312"/>
          <w:b w:val="0"/>
          <w:i w:val="0"/>
          <w:sz w:val="32"/>
        </w:rPr>
        <w:t>（版本 v2026.9.19115018）</w:t>
      </w:r>
    </w:p>
    <w:p>
      <w:pPr>
        <w:spacing w:lineRule="exact" w:line="560" w:before="0" w:after="120"/>
        <w:jc w:val="center"/>
        <w:ind/>
      </w:pPr>
      <w:r>
        <w:rPr>
          <w:rFonts w:ascii="Times New Roman" w:hAnsi="Times New Roman" w:eastAsia="楷体_GB2312"/>
          <w:b w:val="0"/>
          <w:i w:val="0"/>
          <w:sz w:val="32"/>
        </w:rPr>
        <w:t>数据工具箱项目组</w:t>
      </w:r>
    </w:p>
    <w:p>
      <w:pPr>
        <w:spacing w:lineRule="exact" w:line="560" w:before="0" w:after="120"/>
        <w:jc w:val="center"/>
        <w:ind/>
      </w:pPr>
      <w:r>
        <w:rPr>
          <w:rFonts w:ascii="Times New Roman" w:hAnsi="Times New Roman" w:eastAsia="楷体_GB2312"/>
          <w:b w:val="0"/>
          <w:i w:val="0"/>
          <w:sz w:val="32"/>
        </w:rPr>
        <w:t>二〇二六年九月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</w:r>
    </w:p>
    <w:p>
      <w:pPr>
        <w:spacing w:lineRule="exact" w:line="560" w:before="0" w:after="0"/>
        <w:jc w:val="center"/>
        <w:ind/>
      </w:pPr>
      <w:r>
        <w:rPr>
          <w:rFonts w:ascii="Times New Roman" w:hAnsi="Times New Roman" w:eastAsia="楷体_GB2312"/>
          <w:b w:val="0"/>
          <w:i w:val="0"/>
          <w:sz w:val="21"/>
        </w:rPr>
        <w:t>本说明书随版本发布同步更新，如有疑问请以系统内实际界面为准。</w:t>
      </w:r>
    </w:p>
    <w:p>
      <w:r>
        <w:br w:type="page"/>
      </w:r>
    </w:p>
    <w:p>
      <w:pPr>
        <w:spacing w:lineRule="exact" w:line="680" w:before="0" w:after="240"/>
        <w:jc w:val="center"/>
      </w:pPr>
      <w:r>
        <w:rPr>
          <w:rFonts w:ascii="Times New Roman" w:hAnsi="Times New Roman" w:eastAsia="黑体"/>
          <w:b w:val="0"/>
          <w:i w:val="0"/>
          <w:sz w:val="44"/>
        </w:rPr>
        <w:t>目　　录</w:t>
      </w:r>
    </w:p>
    <w:p>
      <w:pPr>
        <w:spacing w:lineRule="exact" w:line="560" w:before="0" w:after="16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本说明书共分十五章及三个附录，主要内容目录如下：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一、系统概述</w:t>
        <w:tab/>
        <w:t>3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二、安装与部署</w:t>
        <w:tab/>
        <w:t>5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三、登录与界面总览</w:t>
        <w:tab/>
        <w:t>8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四、数据库管理</w:t>
        <w:tab/>
        <w:t>11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五、数据治理</w:t>
        <w:tab/>
        <w:t>13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六、本体论抽象</w:t>
        <w:tab/>
        <w:t>22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七、数据血缘</w:t>
        <w:tab/>
        <w:t>22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八、接口分发</w:t>
        <w:tab/>
        <w:t>23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九、Agent 服务（MCP）</w:t>
        <w:tab/>
        <w:t>24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十、智能助手</w:t>
        <w:tab/>
        <w:t>25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十一、模型管理</w:t>
        <w:tab/>
        <w:t>27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十二、数据质量审核</w:t>
        <w:tab/>
        <w:t>28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十三、应用广场</w:t>
        <w:tab/>
        <w:t>31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十四、大屏编辑器</w:t>
        <w:tab/>
        <w:t>32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十五、常见问题与故障排查</w:t>
        <w:tab/>
        <w:t>34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附录 A　治理任务内置 API（gov.*）速查</w:t>
        <w:tab/>
        <w:t>35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附录 B　内置示例任务速查</w:t>
        <w:tab/>
        <w:t>36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附录 C　本说明书的更新维护</w:t>
        <w:tab/>
        <w:t>36</w:t>
      </w: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一、系统概述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（一）系统定位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数据工具箱（DataToolbox）是一套面向业务人员与技术人员的一体化数据处理与治理平台，采用“单文件服务 + 浏览器界面”的轻量形态部署，无需安装数据库客户端，打开浏览器即可完成数据接入、查询、治理、分发与可视化。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平台的核心思路是“把日常的数据处理动作沉淀成可复用的任务”：一次写好处理逻辑，之后既可以手工上传文件执行，也可以定时自动执行，还可以注册成接口分发给其它系统调用。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（二）功能总览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平台顶部导航按模块划分，各模块的主要能力如下表所示。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模块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主要能力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常用人群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数据库管理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接入多种数据库、浏览表结构与数据、执行 SQL、结果导出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技术/分析人员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数据治理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把数据加工逻辑固化为任务（定时/交互），支持文件解析、模板填充、AI 处理、接口分发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数据工程师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本体论抽象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从表结构抽取本体概念与关系，形成业务语义模型（默认隐藏，需在设置中开启）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数据架构师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数据血缘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展示表与表、表与任务之间的流转关系（默认隐藏，需在设置中开启）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数据治理人员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接口分发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管理已注册的对外接口、查看接口文档与在线调试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集成开发人员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Agent服务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以 MCP 协议向智能体（Agent）暴露平台的数据库与治理能力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应用开发者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智能助手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与大模型对话，辅助生成 SQL、生成治理任务、解释数据口径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业务/技术通用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模型管理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维护可用的模型清单与调用参数（默认隐藏，需在设置中开启）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平台管理员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数据质量审核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按规则对数据填报情况做审核，输出审核结论与整改建议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业务主管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应用广场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一键启用预制的看板/表格类应用模板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业务人员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大屏编辑器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拖拽式拼装数据大屏（默认隐藏，需在设置中开启）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可视化人员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（三）运行环境与兼容性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要求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服务端操作系统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Linux（amd64/arm64）、Windows（amd64/arm64）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服务端资源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推荐 2 核 4GB 及以上；纯前端执行的任务对服务端压力极小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浏览器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Chrome / Edge 100 及以上（推荐最新版）；不支持 IE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端口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默认 8080，可在 server.config.json 或启动参数中修改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默认使用内置文件型存储（data/data-store.json），无需额外安装数据库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可选外部依赖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如需 AI 能力，需配置一个 OpenAI 兼容的大模型服务地址与密钥</w:t>
            </w:r>
          </w:p>
        </w:tc>
      </w:tr>
    </w:tbl>
    <w:p>
      <w:pPr>
        <w:spacing w:after="80" w:line="240" w:lineRule="auto"/>
      </w:pP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二、安装与部署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（一）安装包内容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各平台发布包（ZIP / tar.gz）解压后目录结构基本一致，主要文件如下。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 / 目录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datatoolbox-server(.exe)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服务端主程序，双击或命令行启动即可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install.sh / update.sh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Linux 交互式安装脚本与更新脚本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server.config.json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服务配置（端口、监听地址）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README_DEPLOY.md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部署说明（命令行速查）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使用说明书.docx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本说明书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index.html、js/、css/、lib/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前端页面与静态资源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apps/、templates/、components/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子应用、看板模板与预制组件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scripts/、examples/、assets/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治理脚本、示例文件与静态资源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data/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数据目录（首次启动自动生成 data-store.json）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（二）Linux 安装（推荐使用脚本）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第一步，解压发布包并进入目录：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tar -xzf datatoolbox-linux-amd64.tar.gz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cd datatoolbox-linux-amd64</w:t>
      </w:r>
    </w:p>
    <w:p>
      <w:pPr>
        <w:spacing w:after="12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第二步，执行安装脚本，按提示回答：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chmod +x install.sh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./install.sh</w:t>
      </w:r>
    </w:p>
    <w:p>
      <w:pPr>
        <w:spacing w:after="12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脚本会依次询问安装目录（root 默认 /opt/datatoolbox，普通用户默认 ~/datatoolbox）、监听端口（默认 8080）、是否配置 systemd 服务与开机自启，并在完成后做端口连通性验证。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第三步，验证服务：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systemctl status datatoolbox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curl -I http://127.0.0.1:8080/</w:t>
      </w:r>
    </w:p>
    <w:p>
      <w:pPr>
        <w:spacing w:after="12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浏览器访问 http://服务器地址:8080，使用管理员账号登录即可（初始账号 admin / admin1234，首次登录后请立即修改密码）。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（三）Windows 安装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下载对应架构的 zip 包解压，双击 datatoolbox-server.exe 即可启动；如需开机自启，可将其注册为 Windows 服务（可用 nssm 等工具），或在“任务计划程序”中添加开机任务。启动后同样通过浏览器访问 http://127.0.0.1:8080。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（四）手动部署与启动参数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不依赖脚本时，编辑 server.config.json 后直接运行主程序：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{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 xml:space="preserve">  "port": 8080,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 xml:space="preserve">  "host": "0.0.0.0"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}</w:t>
      </w:r>
    </w:p>
    <w:p>
      <w:pPr>
        <w:spacing w:after="120" w:line="240" w:lineRule="auto"/>
      </w:pP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chmod +x datatoolbox-server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./datatoolbox-server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./datatoolbox-server -port 3000   # 命令行参数优先</w:t>
      </w:r>
    </w:p>
    <w:p>
      <w:pPr>
        <w:spacing w:after="12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服务日志默认输出到标准输出；使用 install.sh 配置 systemd 时，会写入日志目录（root 且安装到 /opt/datatoolbox 时为 /var/log/datatoolbox/server.log，否则为安装目录下 logs/server.log）。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（五）升级更新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升级只需替换程序与前端静态文件，数据保存在 data/ 目录不受影响。推荐使用更新脚本：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./update.sh</w:t>
      </w:r>
    </w:p>
    <w:p>
      <w:pPr>
        <w:spacing w:after="12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手动升级时：停止服务 → 备份 data/ 与 server.config.json → 用新版本覆盖程序与前端文件 → 启动服务 → 浏览器强制刷新（Ctrl+F5）确认版本号。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（六）部署常见问题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现象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排查方向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页面打不开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确认服务进程存活、端口未被占用（netstat -lntp | grep 8080）、防火墙/安全组已放行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登录后空白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清理浏览器缓存并强制刷新；确认 index.html 与 js/ 目录为同一版本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上传大文件失败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确认磁盘空间、反向代理（Nginx）的 client_max_body_size 配置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功能不可用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在“设置 → LLM 配置”中检查 URL / API Key / 模型名是否正确，可点“自动获取模型列表”验证连通性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定时任务不执行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确认任务已启用、服务持续运行；查看任务执行日志</w:t>
            </w:r>
          </w:p>
        </w:tc>
      </w:tr>
    </w:tbl>
    <w:p>
      <w:pPr>
        <w:spacing w:after="80" w:line="240" w:lineRule="auto"/>
      </w:pP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三、登录与界面总览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（一）登录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在浏览器地址栏输入服务地址（如 http://127.0.0.1:8080）后进入登录页，输入用户名与密码即可进入系统。管理员初始账号为 admin / admin1234，首次登录后请及时修改密码。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　系统登录界面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（二）顶部导航与页面结构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登录后的主界面自上而下分为三个区域：顶部为系统名称、功能标签页与用户操作区；中部为各模块的工作区；底部与右侧为操作反馈（提示条、执行日志、结果表格等）。点击标签页即可切换模块，当前模块高亮显示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ta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2　主界面与顶部导航（以“数据库管理”为例）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（三）标签页的显示与排序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系统默认只显示常用模块，其余模块可按需开启。点击右上角“设置”按钮，在“标签页设置”区域勾选需要显示的模块、调整顺序或重命名，保存后立即生效。该设置按用户保存，不同账号互不影响。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ab-sett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3　设置界面中的标签页显示与排序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（四）通用交互约定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1. 操作反馈：成功/失败均以右上角提示条呈现，失败时会给出原因。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2. 长任务：耗时操作（如 AI 生成、批量文件处理）会显示进度或流式输出，可等待完成后再操作其它模块。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3. 结果表格：查询或解析结果以表格形式展示，支持横向滚动，重要结果可导出为 Excel。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4. 浏览器建议：请勿使用 IE；版本升级后建议按 Ctrl+F5 强制刷新，避免加载到旧版静态资源。</w:t>
      </w: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四、数据库管理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（一）添加数据库连接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在“数据库管理”模块点击“添加数据库”，填写连接信息并保存：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名称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自定义的展示名称，建议体现业务含义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类型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MySQL、PostgreSQL、SQL Server、Oracle、达梦、人大金仓等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主机 / 端口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数据库服务地址与端口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库名 / 用户名 / 密码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用于连接的库与账号；建议使用只读账号做查询类接入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可选的用途说明，便于多人协作辨识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保存后可点击“测试连接”验证连通性；连接信息保存在服务端数据库中，请注意账号权限最小化，避免把高权限账号交给非管理员使用。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（二）表结构浏览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选中数据库后，左侧为表清单，右侧展示所选表的字段结构（字段名、类型、注释等）。支持按表名搜索、查看建表语句与字段口径，是编写数据治理任务时确认字段的依据。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（三）数据查询与结果导出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在 SQL 编辑区输入查询语句并执行，结果以表格返回；可将结果导出为 Excel，或一键“另存为治理任务”，把查询逻辑固化为可复用任务。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（四）数据安全建议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1. 生产库接入优先使用只读账号；需要写入时单独申请权限。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2. 定期检查已保存的连接与密码，人员变动后及时更换。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3. 导出文件含敏感数据时，请遵循单位的数据分级分类管理要求。</w:t>
      </w: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五、数据治理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数据治理是本平台使用频率最高的模块。它的本质是：把“拿到数据 → 清洗加工 → 生成结果/入库”这套动作写成一个任务，之后可以反复执行。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（一）两类任务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类型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适用场景</w:t>
            </w:r>
          </w:p>
        </w:tc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执行触发方式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定时任务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周期性同步、汇总、抽取（如每天凌晨统计报表）</w:t>
            </w:r>
          </w:p>
        </w:tc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Cron 表达式自动执行，也可手工点“运行”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交互任务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需要人工上传文件或粘贴文本后处理（如把 Word 公告转成 Excel）</w:t>
            </w:r>
          </w:p>
        </w:tc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上传文件/输入文本后点“执行任务”，也可点“运行”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（二）任务列表与新建任务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进入“数据治理”模块，左侧为任务列表，右侧为所选任务的详情。点击“新建任务”打开表单，各字段含义如下。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overnance-task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4　数据治理任务列表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任务名称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必填，建议体现“对象 + 动作 + 结果”，如“产品汇总Word生成（华东区）”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任务类型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定时任务 / 交互任务，决定执行方式与可配置项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任务描述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给同事看的说明，写清输入是什么、输出是什么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关联数据库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可选。关联后任务脚本中可用 gov.querySQL / gov.executeSQL 操作该库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Cron 表达式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定时任务专用，格式为“分 时 日 月 周”，如 0 2 * * * 表示每天 02:00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输入类型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交互任务专用：文件 / 文本 / 两者都要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允许的文件类型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交互任务专用，如 .docx,.xlsx,.csv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多文件模式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逐文件执行（per_file）或合并为一次执行（single，脚本中用 INPUT_FILES 取全部文件）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运行环境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前端（浏览器内执行）或后端运行器（服务端执行）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任务代码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JavaScript 逻辑，可调用平台内置的 gov.* API（见附录 A）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（三）任务详情页要素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选中任务后，详情页自上而下依次为：任务名称与操作按钮（编辑、运行、分享、复制、AI 新建、删除）、基本信息（类型、状态、Cron、关联数据库、最后运行时间）、数据输入区（交互任务）、任务代码折叠区、执行日志区。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gov-task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5　任务详情页（含“复制”“AI 新建”等操作按钮）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（四）运行任务与查看执行结果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点击“▶️ 运行”即可执行任务：带输入的任务会自动带上已选择的文件与文本；执行过程与结果输出在执行日志区，结构化结果会以表格形式预览，若生成了文件（如 Excel、Word），日志下方会出现下载入口。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gov-run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6　执行日志与结果预览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（五）交互任务的输入方式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交互任务在“数据输入”区域提供输入：文件可拖拽或点击上传（支持多选），文本类任务提供多行输入框。多文件模式为“逐文件执行”时，每个文件单独跑一次任务；为“合并执行”时，全部文件一次性传给脚本，脚本中通过 INPUT_FILES 数组读取。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gov-input-fi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7　交互任务的文件上传与输入区域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（六）执行环境：前端与后端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运行环境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执行位置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特点与适用</w:t>
            </w:r>
          </w:p>
        </w:tc>
      </w:tr>
      <w:tr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前端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浏览器内执行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文件不上传服务端，适合含敏感数据的 Word/Excel 解析、模板填充；依赖浏览器性能，超大文件较慢</w:t>
            </w:r>
          </w:p>
        </w:tc>
      </w:tr>
      <w:tr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后端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服务端运行器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适合定时任务、大数据量处理、需要长期后台执行的场景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（七）内置示例任务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发布包自带一批可直接使用的示例任务，覆盖 Word/Excel/CSV 解析、模板填充、AI 抽取、定时检查等典型场景，可作为编写新任务的模板参考。示例任务的输入样例文件可在任务详情页“示例文件”处直接下载。详见附录 B。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（八）分享链接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对需要他人临时使用的任务，可点击“🔗 分享”生成分享链接。获得链接的人无需登录即可在受限页面提交输入并取回结果，适合一次性文件转换等场景。不需要时请及时关闭分享，避免链接外泄造成数据暴露。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（九）注册为 API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任务可注册为对外接口，供其它系统调用。注册后可在“接口分发”模块查看调用方式与在线调试。接口调用需要平台颁发的 API Key（在“设置 → API Key”中管理）。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（十）复制任务：一键派生同类任务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当需要“同样的逻辑、换一套参数”的任务时，不必从零编写：打开作为模板的任务，点击“📄 复制”，输入新任务名称即可生成一个副本。副本会完整继承原任务的代码与配置，但不会继承运行记录、分享链接与 API 注册，状态重置为待运行。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典型用法：以“产品汇总Word生成（套用表格模板）”为模板，复制出“产品汇总Word生成（华东区）”，再进入“编辑”微调输出文件名或列定义。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（十一）AI 新建任务：先问清需求，再生成任务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对于“想要一个新任务、但不确定怎么改代码”的场景，可使用“✨ AI 新建”。它不是让 AI 凭空造一个任务，而是以当前任务为模板，分三步完成：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第一步（AI 提问）：AI 先阅读模板任务的说明与代码，然后针对这个模板提出 3～6 个问题，例如“要抽取的字段与模板有何不同”“输出文件名与格式”“是单文件还是多文件”“是否需要调用 AI”。不同模板问的问题不同，因为这些差异点本身就是任务特异化的地方。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第二步（填写需求）：逐条回答问题，回答越具体，生成结果越贴合预期。例如写明“每个产品单独一张表格，套用模板样式”，而不要只写“格式好看一点”。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第三步（生成并保存）：AI 生成任务名称、说明与完整代码，界面会展示代码预览，确认无误后点击“保存为新任务”。保存后仍可用“编辑”继续微调，或直接运行验证。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i-clone-step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8　AI 新建向导第一步：由 AI 针对模板提问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i-clone-ques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9　AI 新建向导第二步：填写需求回答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i-clone-gener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10　AI 新建向导第三步：生成任务代码并预览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（十二）编写任务脚本的注意事项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1. 先读样例、再动手：优先复制一个功能相近的示例任务改，而不是从空白写起。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2. 用 gov.log 输出关键中间结果，便于排查；结构化结果用 gov.showTable 展示。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3. 文件读取/写入遵守同一套 API（gov.readWord / gov.writeExcel / gov.word 等），不要引入模板里没有用过的第三方库。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4. 多文件任务注意 INPUT_FILES 与单文件变量 INPUT_FILE 的区别。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5. 涉及数据库写入的任务，先在测试库验证，避免误写生产数据。</w:t>
      </w: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六、本体论抽象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本体论抽象把数据库结构“升华”为业务语义知识图谱：AI 从表名、字段与注释中识别概念（实体）与关系，构建实体间的语义关联网络，并主动发现命名冲突、口径不一致等治理风险。界面提供概念数、关系数、风险数统计，支持 2D/3D 图谱切换、AI 智能提取、关系扫描与演示场景。该模块默认隐藏，可在“设置 → 标签页设置”中开启。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tolog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11　本体论抽象（知识图谱）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七、数据血缘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数据血缘用于回答“这张表的数据从哪来、又被谁引用”。选择数据库后点击“分析 / 刷新”，平台会基于外键约束生成血缘关系图（箭头从被引用表指向引用表，即数据流向），并在下方列出外键明细。评估表结构变更影响范围时，先看血缘是最稳妥的做法。该模块默认隐藏，可在“设置 → 标签页设置”中开启。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ine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12　数据血缘分析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八、接口分发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接口分发把平台的数据库与治理能力以接口形式对外提供。界面左侧为“平台 / 接口”两级清单，右侧为接口详情：接口名称、启用状态、接口路径、请求方法、接口类型、关联数据库、转发 URL、SQL 语句、参数说明与调用示例，并提供“🧪 测试”做在线调试。接口 Key 在“设置 → API Key”中管理，与 Agent 服务共用。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p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13　接口分发与接口详情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九、Agent 服务（MCP）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Agent 服务通过 MCP（Model Context Protocol）协议把数据工具箱接入各种智能体客户端（Cursor、Claude Desktop、Cherry Studio、Dify 等），让智能体可以直接查询数据库、读取表结构、调用平台接口。页面提供：启用开关、连接信息（服务地址 / API Key / MCP 端口）、按客户端一键生成配置片段、以及安全配置（如只读模式，仅允许执行查询类语句）。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使用步骤：启用 MCP → 生成并复制 API Key → 选择客户端复制配置 → 在客户端中验证连通性。MCP 端口留空或填 0 表示复用主服务器端口，修改后需重启服务生效。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14　Agent 服务（MCP）配置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十、智能助手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（一）模型配置与自动获取模型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首次使用需在“设置 → LLM 配置”中填写 AI 服务 URL、API Key 与模型名称。为减少手误，模型名称支持“🔄 自动获取模型列表”：点击后平台自动访问上游服务的模型清单接口，把可用模型灌入下拉候选，既可以下拉选择，也可以继续手工输入。向量（Embedding）模型一栏同样支持自动获取，且 Key 留空时自动复用上面的主 Key。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i-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15　LLM 配置与“自动获取模型列表”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“模型管理”模块另提供模型清单维护：大模型管理用于配置 LLM、Rerank、向量化、语音识别等 AI 服务的转发接口；小模型管理用于把自定义数据处理逻辑（JavaScript）注册成可被引用的处理步骤。该模块默认隐藏，可在“设置 → 标签页设置”中开启。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（二）能力检测与开关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配置保存后平台会探测模型能力（函数调用、流式输出、JSON 模式、思考模式等），并给出上下文窗口建议值。若上游服务对某些参数兼容性不佳，可手动关闭对应开关。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（三）表检索（RAG）配置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当数据库中表数量较多时，全量表结构会占用大量上下文。可在设置中启用表检索，让平台在对话或生成任务前先筛选出相关表再交给模型，既省成本也更准确。检索策略支持关键词、向量、图谱与混合模式，可调整返回表数量与各策略权重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（四）对话使用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在“智能助手”标签页中可直接对话：输入 @ 可以引用某个数据库或模块，界面也提供“看看我有哪些数据”“这个表长什么样”“做个数据看板”“查一下最近异常”“帮我创建一个接口”等快捷入口。涉及写库或对外发送的操作，平台仍会要求人工确认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i-assista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16　智能助手对话界面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十一、模型管理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模型管理分为“大模型”和“小模型”：大模型用于配置 LLM、Rerank、向量化、语音识别等AI 服务的转发接口；小模型用 JavaScript 实现自定义数据处理逻辑，可调用已注册的数据库，相当于把一段固定的加工逻辑封装成可复用的“处理单元”。该模块默认隐藏，可在设置中开启。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de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17　模型管理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十二、数据质量审核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数据质量审核面向“填报类”数据，由四个部分组成：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1. 规则配置（规则树）：按 NM（6 位编码）/ XH（层级编码）/ 名称 / 类别 / SQL / 参数 / AI 复核原则维护规则，支持下载模板后批量粘贴导入或从 Excel 导入，SQL 用 Oracle 方言编写并由平台自动转换方言；SQL 中用 {{占位符}} 表示待填参数，未填参数的规则会直接报“参数未配置”，避免出现难懂的语法报错。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2. 定时任务：按周期自动执行审核规则，并可按周期统计填报完成情况。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3. 执行记录：查看每次审核的执行结果与问题清单，逐级定位到具体数据项。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4. 报告模板：定义审核报告的呈现格式，便于导出与上报。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qualit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18　数据质量审核（规则配置，含“AI 复核原则”）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（一）SQL 审核 + AI 复核：两层判定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一条规则的判定分两层。第一层是 SQL 审核：执行规则中的 SQL，查出违规行即判为“不通过”。第二层是 AI 复核（可选）：只有当规则本身填写了“AI 复核原则”时才会触发——审核不通过时，平台把这段原则、规则 SQL、执行结果一并交给大模型，判断“这次不通过是不是规则过严导致的误判”，并给出置信度、理由与规则修改建议。这样可以把“数据真有问题”和“规则写得过严”区分开，减少无谓的整改通知。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AI 复核原则的填写与维护有两种方式：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· 批量导入：在导入表最后增加一列「AI复核原则」（第 7 列，可选），表头写“AI复核原则”或“人工审核规则”均可，列顺序可调；下载的导入模板已带该列说明。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· 单条维护：在规则编辑表单中直接填写“AI 复核原则”输入框，适用少量调整。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关于兼容性与费用，请留意：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· 旧的 5 列 / 6 列导入文件照常导入，缺该列时该规则不做 AI 复核（留空即等于以 SQL 结果为准）。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· 留空的规则完全不调用大模型，不产生调用费用。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· AI 结论仅供参考：报告中每条 AI 结论都标注“※ 本条须由人类专家最终校核”，不能作为最终定论。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AI 复核是“按规则开关”的，两个执行入口都要打开对应开关才会生效：手动一键审核时勾选“启用 AI 校核”；定时任务在任务弹窗中勾选“启用 AI 校核”（默认开启）。若某次执行未启用，结果与报告中会明确提示“本次未启用 AI 校核”，不会出现看似复核过、实为旧结论的情况。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qa-ai-re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19　审核结果中的“SQL 审核结果”与“AI 复核结论”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（二）定时任务的审核项与开关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定时任务弹窗中的审核项规则树只保留一列「执行」：勾选即代表该规则参与本次审核。某条规则是否送 AI 复核，由“规则自带的复核原则 + 任务级的启用 AI 校核”共同决定，不需要在任务里逐条重复勾选，规则调整后任务自动跟随。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qa-schedu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20　定时任务：审核项单列勾选与“启用 AI 校核”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十三、应用广场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应用广场用于创建与管理自定义应用，支持纯前端的 HTML + CSS + JS 应用：新建应用后可在线编辑页面代码、绑定数据、预览效果，并可将应用设为公开访问，把地址分享给同事或嵌入其它系统。平台同时提供预制看板模板，可作为起步脚手架。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pp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21　应用广场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十四、大屏编辑器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大屏编辑器用于拼装数据大屏：从组件库中拖入图表、表格、指标卡等组件，绑定数据源后调整布局与样式，支持保存、预览与分享。组件与模板均在本地打包，无需联网即可使用。该模块默认隐藏，可在“设置 → 标签页设置”中开启。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ab-sett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22　大屏编辑器</w:t>
      </w: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十五、常见问题与故障排查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1. 运行任务时提示“请上传文件”？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说明任务需要输入。请在“数据输入”区域选择文件或粘贴文本后再运行；合并执行的任务需要把全部相关文件一次性选中。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2. 任务执行成功但输出文件为空/格式不符？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先看执行日志中的解析条数是否符合预期。若输入文件结构与示例不同，需要调整脚本中的解析规则；也可用“AI 新建”基于现有任务生成一版再微调。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3. AI 相关功能报错？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在“设置 → LLM 配置”中核对 URL、Key 与模型名；点击“自动获取模型列表”可快速判断是网络问题还是配置问题。模型名写错是最常见原因。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4. 升级后界面没有变化？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浏览器缓存了旧版静态文件。按 Ctrl+F5 强制刷新；安装新版本时请确保 index.html 与 js/、css/ 目录同时更新。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5. 分享链接是否需要收回？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需要。分享链接不要求登录，用完请在任务详情页关闭分享。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6. 某条规则为什么没有 AI 复核结论？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两种常见原因：该规则没有填写“AI 复核原则”（留空即以 SQL 审核结果为准，不调用 AI）；或本次执行没有勾选“启用 AI 校核”。报告与结果区会写明未启用的原因，便于核对。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7. AI 判断为“疑似规则过严误判”，可以直接不改数据吗？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不可以。AI 结论仅供参考，须由业务/数据专家结合规则口径复核后决定：确属误判就修改规则（如增加可空字段白名单、放开阈值），确属数据问题则照常整改。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8. 如何备份数据？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停止服务后备份 data/ 目录（含 data-store.json）与 server.config.json 即可；恢复时覆盖回原位置再启动服务。</w:t>
      </w:r>
    </w:p>
    <w:p>
      <w:pPr>
        <w:spacing w:lineRule="exact" w:line="60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6"/>
        </w:rPr>
        <w:t>附录 A　治理任务内置 API（gov.*）速查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下表为治理任务脚本中可直接使用的主要接口，更完整的说明见平台内“接口分发 → API 参考”。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接口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用途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gov.log(msg)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向执行日志输出一行信息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gov.showTable(data)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以表格形式预览结构化结果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gov.readExcel(file)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读取 Excel，返回工作簿对象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gov.readCSV(text)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解析 CSV 文本为二维数组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gov.readWord(file)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读取 Word 正文，返回 { value }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gov.readWordTables(file)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读取 Word 中的表格（含列宽、样式），用于套用模板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gov.word()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Word 构建器：heading / paragraph / table / tableFromTemplate / save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gov.writeExcel(name, data, opts?)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写出 Excel（支持单元格样式）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gov.writeCSV(name, data)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写出 CSV 文件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gov.writeText(name, content)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写出纯文本文件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gov.writeJSON(name, data)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写出 JSON 文件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gov.fillWordTemplate(tpl, data, out)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按模板填充 Word 并输出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gov.fillExcelTemplate(tpl, data, out)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按模板填充 Excel 并输出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gov.parseFilename(name, opts?)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从文件名解析单位与日期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gov.parseWordStructure(file, opts?)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解析 Word 的标题层级结构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gov.callAI(prompt)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调用已配置的大模型，返回文本结果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gov.getDbType()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获取当前关联数据库类型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gov.getDatabases()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列出可用数据库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gov.querySQL(sql, params?)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在当前数据库执行查询，返回行数组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gov.executeSQL(sql, params?)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在当前数据库执行写入，返回影响行数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gov.querySQLForDb(dbId, sql, params?)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在指定数据库执行查询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gov.executeSQLForDb(dbId, sql, params?)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在指定数据库执行写入</w:t>
            </w:r>
          </w:p>
        </w:tc>
      </w:tr>
    </w:tbl>
    <w:p>
      <w:pPr>
        <w:spacing w:after="80" w:line="240" w:lineRule="auto"/>
      </w:pPr>
    </w:p>
    <w:p>
      <w:pPr>
        <w:spacing w:lineRule="exact" w:line="60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6"/>
        </w:rPr>
        <w:t>附录 B　内置示例任务速查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示例任务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输入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输出 / 用途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产品汇总Word生成（套用表格模板）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表格模板 Word + 产品介绍 Word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套用模板样式的产品汇总 Word（每个产品一张表）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公文Word转Excel（正则抽取）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公文类 Word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按正则规则抽取要素，输出 Excel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公文Word转Excel（AI抽取）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公文类 Word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由 AI 理解正文后抽取要素，输出 Excel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Word文档内容提取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Word 文件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提取正文与结构，便于后续加工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Excel数据解析入库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Excel 文件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解析并写入指定数据库表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CSV文本解析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CSV 文件或文本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解析为结构化数据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国际新闻入库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新闻文本/文件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整理后入库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综合日报生成器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多个日报 Word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合并生成综合日报（合并执行模式）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数据完整性检查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—（定时）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定时巡检数据完整性并输出结论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数据库表行数统计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—（定时）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定时统计表行数，用于监控数据增长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测试任务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用于验证环境与脚本的最小示例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提示：示例任务可直接“运行”查看效果，也可用“📄 复制”或“✨ AI 新建”派生出符合自身业务的新任务。</w:t>
      </w:r>
    </w:p>
    <w:p>
      <w:pPr>
        <w:spacing w:lineRule="exact" w:line="60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6"/>
        </w:rPr>
        <w:t>附录 C　本说明书的更新维护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本说明书随版本发布一并打包，目录下的“使用说明书.docx”即为当前版本。为确保说明与系统功能始终一致，更新约定如下：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1. 新增或调整功能时，同步修改 docs/manual/build_manual.py 中的对应章节文字与表格。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2. 界面发生变化时，重新运行 docs/manual/take_screenshots.js 抓取最新截图，再重新生成说明书。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3. 生成命令：python3 docs/manual/build_manual.py，输出到 docs/使用说明书.docx。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4. 发布流水线会在打包时自动重新生成说明书，并放入安装包根目录。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5. 每次发布前确认：版本号、示例任务清单、界面截图三处与系统实际一致。</w:t>
      </w:r>
    </w:p>
    <w:sectPr w:rsidR="00FC693F" w:rsidRPr="0006063C" w:rsidSect="00034616">
      <w:footerReference w:type="default" r:id="rId9"/>
      <w:pgSz w:w="11906" w:h="16838"/>
      <w:pgMar w:top="2098" w:right="1474" w:bottom="1984" w:left="1587" w:header="850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