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2026年4月12日丙单位日报</w:t>
      </w:r>
    </w:p>
    <w:p>
      <w:pPr>
        <w:pStyle w:val="Subtitle"/>
      </w:pPr>
      <w:r>
        <w:t>丙单位（技术中台） · 研发与平台日报</w:t>
      </w:r>
    </w:p>
    <w:p>
      <w:pPr>
        <w:pStyle w:val="Heading2"/>
      </w:pPr>
      <w:r>
        <w:t>一、工作概述</w:t>
      </w:r>
    </w:p>
    <w:p>
      <w:r>
        <w:t>API 网关发布灰度版本 v2.3.1；完成链路追踪采样率调整。</w:t>
      </w:r>
    </w:p>
    <w:p>
      <w:pPr>
        <w:pStyle w:val="Heading2"/>
      </w:pPr>
      <w:r>
        <w:t>二、重点项目</w:t>
      </w:r>
    </w:p>
    <w:p>
      <w:pPr>
        <w:pStyle w:val="Heading3"/>
      </w:pPr>
      <w:r>
        <w:t>2.1 微服务治理</w:t>
      </w:r>
    </w:p>
    <w:p>
      <w:r>
        <w:t>完成 4 个服务熔断策略配置评审。</w:t>
      </w:r>
    </w:p>
    <w:p>
      <w:pPr>
        <w:pStyle w:val="Heading3"/>
      </w:pPr>
      <w:r>
        <w:t>2.2 可观测性</w:t>
      </w:r>
    </w:p>
    <w:p>
      <w:r>
        <w:t>日志索引扩容评估完成，下周实施。</w:t>
      </w:r>
    </w:p>
    <w:p>
      <w:pPr>
        <w:pStyle w:val="Heading2"/>
      </w:pPr>
      <w:r>
        <w:t>三、问题与风险</w:t>
      </w:r>
    </w:p>
    <w:p>
      <w:r>
        <w:t>测试环境偶发超时，已定位到连接池配置，明日修复。</w:t>
      </w:r>
    </w:p>
    <w:p>
      <w:pPr>
        <w:pStyle w:val="Heading2"/>
      </w:pPr>
      <w:r>
        <w:t>四、明日计划</w:t>
      </w:r>
    </w:p>
    <w:p>
      <w:r>
        <w:t>发布补丁版本；配合甲单位完成联调。</w:t>
      </w:r>
    </w:p>
    <w:sectPr w:rsidR="00FC693F" w:rsidRPr="0006063C" w:rsidSect="00034616">
      <w:pgSz w:w="12240" w:h="15840"/>
      <w:pgMar w:top="1417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