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 w:val="0"/>
          <w:color w:val="FF0000"/>
          <w:sz w:val="28"/>
        </w:rPr>
        <w:t>★内部资料 模拟数据</w:t>
      </w:r>
    </w:p>
    <w:p/>
    <w:p>
      <w:pPr>
        <w:jc w:val="center"/>
      </w:pPr>
      <w:r>
        <w:rPr>
          <w:rFonts w:ascii="方正小标宋简体" w:hAnsi="方正小标宋简体" w:eastAsia="方正小标宋简体"/>
          <w:b/>
          <w:color w:val="FF0000"/>
          <w:sz w:val="44"/>
        </w:rPr>
        <w:t>国际新闻与运输情况通报</w:t>
      </w:r>
    </w:p>
    <w:p>
      <w:pPr>
        <w:jc w:val="center"/>
      </w:pPr>
      <w:r>
        <w:rPr>
          <w:rFonts w:ascii="仿宋" w:hAnsi="仿宋" w:eastAsia="仿宋"/>
          <w:b w:val="0"/>
          <w:sz w:val="32"/>
        </w:rPr>
        <w:t>国运字〔1999〕第03号</w:t>
      </w:r>
    </w:p>
    <w:p>
      <w:pPr>
        <w:pBdr>
          <w:bottom w:val="single" w:sz="12" w:space="1" w:color="FF0000"/>
        </w:pBdr>
      </w:pPr>
    </w:p>
    <w:p/>
    <w:p>
      <w:r>
        <w:rPr>
          <w:rFonts w:ascii="黑体" w:hAnsi="黑体" w:eastAsia="黑体"/>
          <w:b/>
          <w:sz w:val="32"/>
        </w:rPr>
        <w:t>一、国际新闻动态</w:t>
      </w:r>
    </w:p>
    <w:p>
      <w:r>
        <w:t>（一）亚洲地区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新加坡樟宜机场连续第三年被评为全球最佳机场，为我方东南亚运输提供优质保障。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马来西亚吉隆坡港口新增自动化码头，作业效率提升35%，降低运输成本。</w:t>
      </w:r>
    </w:p>
    <w:p>
      <w:r>
        <w:t>（二）欧洲地区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荷兰鹿特丹港完成智能化改造，成为欧洲首个全自动化港口，大幅提升作业效率。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意大利政府宣布将投资30亿欧元升级全国港口设施，预计工期3年。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西班牙巴塞罗那机场新增直飞亚洲航线，为我方南欧运输提供便利。</w:t>
      </w:r>
    </w:p>
    <w:p>
      <w:r>
        <w:t>（三）中东北非地区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卡塔尔多哈机场完成扩建工程，年旅客吞吐能力提升至5000万人次。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摩洛哥丹吉尔港新增地中海航线，为我方北非地区运输提供新选择。</w:t>
      </w:r>
    </w:p>
    <w:p>
      <w:r>
        <w:t>（四）美洲地区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美国东海岸遭遇暴风雪天气，纽约、波士顿等港口作业受到影响，预计影响持续2-3天。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智利圣地亚哥机场完成跑道改造，可起降大型运输机，提升南美运输保障能力。</w:t>
      </w:r>
    </w:p>
    <w:p>
      <w:r>
        <w:t>（五）大洋洲地区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斐济政府宣布将升级楠迪机场，预计将提升南太平洋地区运输能力。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澳大利亚布里斯班港新增直达亚洲航线，运输时间缩短2天。</w:t>
      </w:r>
    </w:p>
    <w:p/>
    <w:p>
      <w:r>
        <w:rPr>
          <w:rFonts w:ascii="黑体" w:hAnsi="黑体" w:eastAsia="黑体"/>
          <w:b/>
          <w:sz w:val="32"/>
        </w:rPr>
        <w:t>二、各区域运输保障情况</w:t>
      </w:r>
    </w:p>
    <w:p>
      <w:r>
        <w:t>（一）亚洲地区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海上运输：出动远洋二号等型号运输船8批次，共计24艘次。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空中运输：出动空客A330货机等型号运输机11批次，共计44架次。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陆上运输：出动斯太尔等型号运输车14批次，共计126车次。</w:t>
      </w:r>
    </w:p>
    <w:p>
      <w:r>
        <w:t>（二）欧洲地区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海上运输：出动运输舰B型等型号运输船6批次，共计18艘次。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空中运输：出动运-9等型号运输机10批次，共计20架次。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陆上运输：出动斯太尔等型号运输车14批次，共计112车次。</w:t>
      </w:r>
    </w:p>
    <w:p>
      <w:r>
        <w:t>（三）中东北非地区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海上运输：出动远洋三号等型号运输船5批次，共计20艘次。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空中运输：出动运-9等型号运输机14批次，共计56架次。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陆上运输：出动北方奔驰等型号运输车15批次，共计150车次。</w:t>
      </w:r>
    </w:p>
    <w:p>
      <w:r>
        <w:t>（四）美洲地区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海上运输：出动滚装船C型等型号运输船6批次，共计30艘次。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空中运输：出动运-9等型号运输机13批次，共计39架次。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陆上运输：出动陕汽重卡等型号运输车20批次，共计200车次。</w:t>
      </w:r>
    </w:p>
    <w:p>
      <w:r>
        <w:t>（五）大洋洲地区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海上运输：出动滚装船C型等型号运输船8批次，共计24艘次。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空中运输：出动安-124等型号运输机9批次，共计18架次。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陆上运输：出动东风重卡等型号运输车18批次，共计252车次。</w:t>
      </w:r>
    </w:p>
    <w:p/>
    <w:p/>
    <w:p>
      <w:pPr>
        <w:jc w:val="right"/>
      </w:pPr>
      <w:r>
        <w:rPr>
          <w:rFonts w:ascii="仿宋" w:hAnsi="仿宋" w:eastAsia="仿宋"/>
          <w:b w:val="0"/>
          <w:sz w:val="30"/>
        </w:rPr>
        <w:t>国际运输协调办公室</w:t>
      </w:r>
    </w:p>
    <w:p>
      <w:pPr>
        <w:jc w:val="right"/>
      </w:pPr>
      <w:r>
        <w:rPr>
          <w:rFonts w:ascii="仿宋" w:hAnsi="仿宋" w:eastAsia="仿宋"/>
          <w:b w:val="0"/>
          <w:sz w:val="30"/>
        </w:rPr>
        <w:t>1999年1月03日</w:t>
      </w:r>
    </w:p>
    <w:p/>
    <w:p>
      <w:pPr>
        <w:jc w:val="center"/>
      </w:pPr>
      <w:r>
        <w:rPr>
          <w:rFonts w:ascii="黑体" w:hAnsi="黑体" w:eastAsia="黑体"/>
          <w:b w:val="0"/>
          <w:color w:val="FF0000"/>
          <w:sz w:val="28"/>
        </w:rPr>
        <w:t>★内部资料 模拟数据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