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F9" w:rsidRDefault="008910F9" w:rsidP="008910F9">
      <w:pPr>
        <w:pStyle w:val="Heading2"/>
        <w:spacing w:line="360" w:lineRule="auto"/>
      </w:pPr>
      <w:r>
        <w:rPr>
          <w:rFonts w:hint="eastAsia"/>
        </w:rPr>
        <w:t>课后习题</w:t>
      </w:r>
    </w:p>
    <w:p w:rsidR="008910F9" w:rsidRDefault="008910F9" w:rsidP="008910F9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、运用链梯法对下述流量三角形下三角部分进行预测，比较运用</w:t>
      </w:r>
      <w:r w:rsidRPr="00F1560F">
        <w:rPr>
          <w:rFonts w:ascii="Times New Roman" w:hAnsi="Times New Roman" w:hint="eastAsia"/>
        </w:rPr>
        <w:t>加权平均</w:t>
      </w:r>
      <w:r w:rsidRPr="00F1560F">
        <w:rPr>
          <w:rFonts w:ascii="Times New Roman" w:hAnsi="Times New Roman"/>
        </w:rPr>
        <w:t xml:space="preserve"> </w:t>
      </w:r>
      <w:r w:rsidRPr="00EB446F">
        <w:rPr>
          <w:rFonts w:ascii="Times New Roman" w:hAnsi="Times New Roman"/>
        </w:rPr>
        <w:t>逐年进展因子</w:t>
      </w:r>
      <w:r>
        <w:rPr>
          <w:rFonts w:ascii="Times New Roman" w:hAnsi="Times New Roman" w:hint="eastAsia"/>
        </w:rPr>
        <w:t>和简单平均</w:t>
      </w:r>
      <w:r w:rsidRPr="00EB446F">
        <w:rPr>
          <w:rFonts w:ascii="Times New Roman" w:hAnsi="Times New Roman"/>
        </w:rPr>
        <w:t>逐年进展因子</w:t>
      </w:r>
      <w:r>
        <w:rPr>
          <w:rFonts w:ascii="Times New Roman" w:hAnsi="Times New Roman" w:hint="eastAsia"/>
        </w:rPr>
        <w:t>的预测结果。</w:t>
      </w:r>
    </w:p>
    <w:p w:rsidR="008910F9" w:rsidRDefault="008910F9" w:rsidP="008910F9">
      <w:pPr>
        <w:spacing w:line="276" w:lineRule="auto"/>
        <w:rPr>
          <w:rFonts w:ascii="Times New Roman" w:hAnsi="Times New Roman"/>
        </w:rPr>
      </w:pPr>
    </w:p>
    <w:tbl>
      <w:tblPr>
        <w:tblStyle w:val="TableGrid1"/>
        <w:tblW w:w="7083" w:type="dxa"/>
        <w:jc w:val="center"/>
        <w:tblLook w:val="04A0" w:firstRow="1" w:lastRow="0" w:firstColumn="1" w:lastColumn="0" w:noHBand="0" w:noVBand="1"/>
      </w:tblPr>
      <w:tblGrid>
        <w:gridCol w:w="1080"/>
        <w:gridCol w:w="869"/>
        <w:gridCol w:w="869"/>
        <w:gridCol w:w="869"/>
        <w:gridCol w:w="869"/>
        <w:gridCol w:w="869"/>
        <w:gridCol w:w="869"/>
        <w:gridCol w:w="789"/>
      </w:tblGrid>
      <w:tr w:rsidR="008910F9" w:rsidRPr="00EB446F" w:rsidTr="004451D1">
        <w:trPr>
          <w:trHeight w:val="285"/>
          <w:jc w:val="center"/>
        </w:trPr>
        <w:tc>
          <w:tcPr>
            <w:tcW w:w="1080" w:type="dxa"/>
            <w:vMerge w:val="restart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事故年</w:t>
            </w:r>
          </w:p>
        </w:tc>
        <w:tc>
          <w:tcPr>
            <w:tcW w:w="6003" w:type="dxa"/>
            <w:gridSpan w:val="7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进展年</w:t>
            </w:r>
          </w:p>
        </w:tc>
      </w:tr>
      <w:tr w:rsidR="008910F9" w:rsidRPr="00EB446F" w:rsidTr="004451D1">
        <w:trPr>
          <w:trHeight w:val="285"/>
          <w:jc w:val="center"/>
        </w:trPr>
        <w:tc>
          <w:tcPr>
            <w:tcW w:w="1080" w:type="dxa"/>
            <w:vMerge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6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6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6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6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6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89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446F"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1130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2003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2715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3206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3563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3798</w:t>
            </w: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3911</w:t>
            </w: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1999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1103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2199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2937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3592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3904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4064</w:t>
            </w: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2000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1008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1957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2566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3021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3320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  <w:r w:rsidRPr="00EB446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965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1868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2520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3117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2002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1028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2145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3142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2003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850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1678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F9" w:rsidRPr="00CE133C" w:rsidTr="004451D1">
        <w:trPr>
          <w:trHeight w:val="285"/>
          <w:jc w:val="center"/>
        </w:trPr>
        <w:tc>
          <w:tcPr>
            <w:tcW w:w="1080" w:type="dxa"/>
            <w:noWrap/>
            <w:vAlign w:val="center"/>
            <w:hideMark/>
          </w:tcPr>
          <w:p w:rsidR="008910F9" w:rsidRPr="00EB446F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2004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C18D7">
              <w:rPr>
                <w:rFonts w:ascii="Times New Roman" w:hAnsi="Times New Roman" w:cs="Times New Roman" w:hint="eastAsia"/>
              </w:rPr>
              <w:t>567</w:t>
            </w: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noWrap/>
            <w:hideMark/>
          </w:tcPr>
          <w:p w:rsidR="008910F9" w:rsidRPr="006C18D7" w:rsidRDefault="008910F9" w:rsidP="004451D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910F9" w:rsidRPr="008910F9" w:rsidRDefault="008910F9" w:rsidP="008910F9">
      <w:pPr>
        <w:spacing w:line="276" w:lineRule="auto"/>
        <w:rPr>
          <w:rFonts w:ascii="Times New Roman" w:hAnsi="Times New Roman" w:hint="eastAsia"/>
        </w:rPr>
      </w:pPr>
    </w:p>
    <w:p w:rsidR="008910F9" w:rsidRDefault="008910F9" w:rsidP="008910F9">
      <w:pPr>
        <w:spacing w:line="360" w:lineRule="auto"/>
        <w:rPr>
          <w:rFonts w:hint="eastAsia"/>
        </w:rPr>
      </w:pPr>
      <w:r>
        <w:rPr>
          <w:rFonts w:hint="eastAsia"/>
        </w:rPr>
        <w:t>2、讨论链梯法的重要假设是什么？</w:t>
      </w:r>
    </w:p>
    <w:p w:rsidR="008910F9" w:rsidRDefault="008910F9" w:rsidP="008910F9">
      <w:pPr>
        <w:spacing w:line="360" w:lineRule="auto"/>
        <w:rPr>
          <w:rFonts w:hint="eastAsia"/>
        </w:rPr>
      </w:pPr>
      <w:r>
        <w:rPr>
          <w:rFonts w:hint="eastAsia"/>
        </w:rPr>
        <w:t>3、如果运用</w:t>
      </w:r>
      <w:r w:rsidRPr="00B22E17">
        <w:rPr>
          <w:rFonts w:hint="eastAsia"/>
        </w:rPr>
        <w:t>已付赔款</w:t>
      </w:r>
      <w:r>
        <w:rPr>
          <w:rFonts w:hint="eastAsia"/>
        </w:rPr>
        <w:t>数据构建流量三角形并运用链梯法进行预测，讨论</w:t>
      </w:r>
      <w:r w:rsidRPr="00B22E17">
        <w:rPr>
          <w:rFonts w:hint="eastAsia"/>
        </w:rPr>
        <w:t>基于已付赔款数据的准备金评估</w:t>
      </w:r>
      <w:r>
        <w:rPr>
          <w:rFonts w:hint="eastAsia"/>
        </w:rPr>
        <w:t>可能会出现的问题。</w:t>
      </w:r>
    </w:p>
    <w:p w:rsidR="008910F9" w:rsidRDefault="008910F9" w:rsidP="008910F9">
      <w:pPr>
        <w:spacing w:line="360" w:lineRule="auto"/>
        <w:rPr>
          <w:rFonts w:hint="eastAsia"/>
        </w:rPr>
      </w:pPr>
      <w:r>
        <w:rPr>
          <w:rFonts w:hint="eastAsia"/>
        </w:rPr>
        <w:t>4、为什么需要对未决赔款准备金进行预测？</w:t>
      </w:r>
    </w:p>
    <w:p w:rsidR="008910F9" w:rsidRDefault="008910F9" w:rsidP="008910F9">
      <w:pPr>
        <w:spacing w:line="360" w:lineRule="auto"/>
      </w:pPr>
      <w:r>
        <w:rPr>
          <w:rFonts w:hint="eastAsia"/>
        </w:rPr>
        <w:t>5、讨论链梯法的缺点？</w:t>
      </w:r>
    </w:p>
    <w:p w:rsidR="004D0CAC" w:rsidRDefault="004D0CAC" w:rsidP="008910F9">
      <w:pPr>
        <w:rPr>
          <w:rFonts w:hint="eastAsia"/>
        </w:rPr>
      </w:pPr>
      <w:bookmarkStart w:id="0" w:name="_GoBack"/>
      <w:bookmarkEnd w:id="0"/>
    </w:p>
    <w:p w:rsidR="008910F9" w:rsidRDefault="008910F9" w:rsidP="008910F9">
      <w:pPr>
        <w:pStyle w:val="Heading2"/>
        <w:spacing w:line="360" w:lineRule="auto"/>
      </w:pPr>
      <w:r>
        <w:rPr>
          <w:rFonts w:hint="eastAsia"/>
        </w:rPr>
        <w:t>答案：</w:t>
      </w:r>
    </w:p>
    <w:p w:rsidR="008910F9" w:rsidRDefault="008910F9" w:rsidP="008910F9">
      <w:pPr>
        <w:spacing w:line="276" w:lineRule="auto"/>
        <w:rPr>
          <w:rFonts w:ascii="Times New Roman" w:hAnsi="Times New Roman" w:hint="eastAsia"/>
        </w:rPr>
      </w:pPr>
      <w:r>
        <w:rPr>
          <w:rFonts w:hint="eastAsia"/>
        </w:rPr>
        <w:t>1、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矩阵形式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cum.triangle &lt;- matrix(c(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1130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2003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2715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3206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3563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3798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3911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                       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1103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2199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2937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3592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3904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4064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lastRenderedPageBreak/>
        <w:t xml:space="preserve">                         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1008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1957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2566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3021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3320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                       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965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1868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2520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3117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                       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1028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2145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3142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                       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850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1678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                       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567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), ncol =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7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, nrow =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7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)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cum.triangle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colnames(cum.triangle) &lt;- seq(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0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6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)  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重命名（列名称）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row.names(cum.triangle) &lt;- seq(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1998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,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2004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)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重命名（行名称）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cum.triangle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# ======================================================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运用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 ChainLadder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包进行链锑法的估计和预测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# ======================================================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0000FF"/>
          <w:kern w:val="0"/>
          <w:sz w:val="18"/>
          <w:szCs w:val="24"/>
        </w:rPr>
        <w:t>library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(ChainLadder)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m0 &lt;- ata(cum.triangle)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计算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 Age-to-Age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因子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输出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加权平均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 age-to-age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因子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attr(m0, </w:t>
      </w:r>
      <w:r w:rsidRPr="006C18D7">
        <w:rPr>
          <w:rFonts w:ascii="Courier New" w:hAnsi="Courier New" w:cs="Courier New"/>
          <w:color w:val="036A07"/>
          <w:kern w:val="0"/>
          <w:sz w:val="18"/>
          <w:szCs w:val="24"/>
        </w:rPr>
        <w:t>'vwtd'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)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输出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简单平均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 age-to-age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因子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attr(m0, </w:t>
      </w:r>
      <w:r w:rsidRPr="006C18D7">
        <w:rPr>
          <w:rFonts w:ascii="Courier New" w:hAnsi="Courier New" w:cs="Courier New"/>
          <w:color w:val="036A07"/>
          <w:kern w:val="0"/>
          <w:sz w:val="18"/>
          <w:szCs w:val="24"/>
        </w:rPr>
        <w:t>'smpl'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)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ratio &lt;- attr(m0, </w:t>
      </w:r>
      <w:r w:rsidRPr="006C18D7">
        <w:rPr>
          <w:rFonts w:ascii="Courier New" w:hAnsi="Courier New" w:cs="Courier New"/>
          <w:color w:val="036A07"/>
          <w:kern w:val="0"/>
          <w:sz w:val="18"/>
          <w:szCs w:val="24"/>
        </w:rPr>
        <w:t>'vwtd'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)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进展因子（加权平均）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ratio &lt;- cumprod(ratio)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累计进展因子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tail &lt;-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尾部进展因子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ratio &lt;- c(ratio, tail)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最终累计进展因子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lastRenderedPageBreak/>
        <w:t xml:space="preserve"># </w:t>
      </w:r>
      <w:r w:rsidRPr="006C18D7">
        <w:rPr>
          <w:rFonts w:ascii="Courier New" w:hAnsi="Courier New" w:cs="Courier New"/>
          <w:color w:val="4C886B"/>
          <w:kern w:val="0"/>
          <w:sz w:val="18"/>
          <w:szCs w:val="24"/>
        </w:rPr>
        <w:t>补全流量三角形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full.triangle &lt;- cum.triangle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n &lt;-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7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(k </w:t>
      </w:r>
      <w:r w:rsidRPr="006C18D7">
        <w:rPr>
          <w:rFonts w:ascii="Courier New" w:hAnsi="Courier New" w:cs="Courier New"/>
          <w:color w:val="0000FF"/>
          <w:kern w:val="0"/>
          <w:sz w:val="18"/>
          <w:szCs w:val="24"/>
        </w:rPr>
        <w:t>in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:(n-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)){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  full.triangle[(n-k+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):n, k+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] &lt;- full.triangle[(n-k+</w:t>
      </w:r>
      <w:r w:rsidRPr="006C18D7">
        <w:rPr>
          <w:rFonts w:ascii="Courier New" w:hAnsi="Courier New" w:cs="Courier New"/>
          <w:color w:val="0000CD"/>
          <w:kern w:val="0"/>
          <w:sz w:val="18"/>
          <w:szCs w:val="24"/>
        </w:rPr>
        <w:t>1</w:t>
      </w: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):n,k]*ratio[k]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}</w:t>
      </w:r>
    </w:p>
    <w:p w:rsidR="008910F9" w:rsidRPr="006C18D7" w:rsidRDefault="008910F9" w:rsidP="008910F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hAnsi="Courier New" w:cs="Courier New"/>
          <w:color w:val="333333"/>
          <w:kern w:val="0"/>
          <w:sz w:val="13"/>
          <w:szCs w:val="20"/>
        </w:rPr>
      </w:pPr>
      <w:r w:rsidRPr="006C18D7">
        <w:rPr>
          <w:rFonts w:ascii="Courier New" w:hAnsi="Courier New" w:cs="Courier New"/>
          <w:color w:val="333333"/>
          <w:kern w:val="0"/>
          <w:sz w:val="18"/>
          <w:szCs w:val="24"/>
        </w:rPr>
        <w:t>full.triangle</w:t>
      </w:r>
    </w:p>
    <w:p w:rsidR="008910F9" w:rsidRPr="004E0583" w:rsidRDefault="008910F9" w:rsidP="008910F9">
      <w:pPr>
        <w:spacing w:line="276" w:lineRule="auto"/>
        <w:rPr>
          <w:rFonts w:ascii="Times New Roman" w:hAnsi="Times New Roman"/>
        </w:rPr>
      </w:pPr>
    </w:p>
    <w:p w:rsidR="008910F9" w:rsidRDefault="008910F9" w:rsidP="008910F9">
      <w:pPr>
        <w:spacing w:line="360" w:lineRule="auto"/>
      </w:pPr>
      <w:r>
        <w:rPr>
          <w:rFonts w:hint="eastAsia"/>
        </w:rPr>
        <w:t>2、</w:t>
      </w:r>
      <w:r>
        <w:rPr>
          <w:rFonts w:hint="eastAsia"/>
        </w:rPr>
        <w:t>答案：保险公司的赔付支出具有相同的模式。</w:t>
      </w:r>
    </w:p>
    <w:p w:rsidR="008910F9" w:rsidRDefault="008910F9" w:rsidP="008910F9">
      <w:pPr>
        <w:spacing w:line="360" w:lineRule="auto"/>
      </w:pPr>
      <w:r>
        <w:rPr>
          <w:rFonts w:hint="eastAsia"/>
        </w:rPr>
        <w:t>3、</w:t>
      </w:r>
      <w:r>
        <w:rPr>
          <w:rFonts w:hint="eastAsia"/>
        </w:rPr>
        <w:t>答案：已付赔款是赔案实际支付额，客观性较强。主要存在的问题包括：</w:t>
      </w:r>
    </w:p>
    <w:p w:rsidR="008910F9" w:rsidRDefault="008910F9" w:rsidP="008910F9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没有利用已报案未决赔款准备金的信息</w:t>
      </w:r>
    </w:p>
    <w:p w:rsidR="008910F9" w:rsidRDefault="008910F9" w:rsidP="008910F9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受理赔速度的影响，理赔部门处理赔案的速度每年都可能发生变化，导致赔付延迟模式和进展因子波动较大</w:t>
      </w:r>
    </w:p>
    <w:p w:rsidR="008910F9" w:rsidRDefault="008910F9" w:rsidP="008910F9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基于已付赔款数据的准备金评估会因为理赔速度的变化而被歪曲</w:t>
      </w:r>
    </w:p>
    <w:p w:rsidR="008910F9" w:rsidRDefault="008910F9" w:rsidP="008910F9">
      <w:pPr>
        <w:spacing w:line="360" w:lineRule="auto"/>
      </w:pPr>
      <w:r>
        <w:rPr>
          <w:rFonts w:hint="eastAsia"/>
        </w:rPr>
        <w:t>4、</w:t>
      </w:r>
      <w:r>
        <w:rPr>
          <w:rFonts w:hint="eastAsia"/>
        </w:rPr>
        <w:t>答案：</w:t>
      </w:r>
      <w:r w:rsidRPr="00327BEF">
        <w:rPr>
          <w:rFonts w:ascii="Times New Roman" w:hAnsi="Times New Roman"/>
        </w:rPr>
        <w:t>未决赔款准备金对尚未结案的赔案而提取的准备金</w:t>
      </w:r>
      <w:r>
        <w:rPr>
          <w:rFonts w:ascii="Times New Roman" w:hAnsi="Times New Roman" w:hint="eastAsia"/>
        </w:rPr>
        <w:t>，是保险公司负债的重要组成部分，对保险公司的风险管理具有至关重要的作用。</w:t>
      </w:r>
    </w:p>
    <w:p w:rsidR="008910F9" w:rsidRDefault="008910F9" w:rsidP="008910F9">
      <w:pPr>
        <w:spacing w:line="360" w:lineRule="auto"/>
      </w:pPr>
      <w:r>
        <w:rPr>
          <w:rFonts w:hint="eastAsia"/>
        </w:rPr>
        <w:t>5、</w:t>
      </w:r>
      <w:r>
        <w:rPr>
          <w:rFonts w:hint="eastAsia"/>
        </w:rPr>
        <w:t>（1）从统计的角度看，它是不完善的，因为把一些非独立的数学期望值（进展因子）进行了连乘。事实上，进展因子之间是负相关的</w:t>
      </w:r>
    </w:p>
    <w:p w:rsidR="008910F9" w:rsidRDefault="008910F9" w:rsidP="008910F9">
      <w:pPr>
        <w:spacing w:line="360" w:lineRule="auto"/>
      </w:pPr>
      <w:r>
        <w:rPr>
          <w:rFonts w:hint="eastAsia"/>
        </w:rPr>
        <w:t>（2）对观察值波动的反应异常敏感</w:t>
      </w:r>
      <w:r>
        <w:t xml:space="preserve"> </w:t>
      </w:r>
    </w:p>
    <w:p w:rsidR="008910F9" w:rsidRDefault="008910F9" w:rsidP="008910F9">
      <w:pPr>
        <w:spacing w:line="360" w:lineRule="auto"/>
      </w:pPr>
      <w:r>
        <w:rPr>
          <w:rFonts w:hint="eastAsia"/>
        </w:rPr>
        <w:t>（3）忽略了外生变量对流量三角形可能产生的影响，如理赔速度</w:t>
      </w:r>
    </w:p>
    <w:p w:rsidR="008910F9" w:rsidRPr="008910F9" w:rsidRDefault="008910F9" w:rsidP="008910F9">
      <w:pPr>
        <w:rPr>
          <w:rFonts w:hint="eastAsia"/>
        </w:rPr>
      </w:pPr>
    </w:p>
    <w:sectPr w:rsidR="008910F9" w:rsidRPr="008910F9" w:rsidSect="00FD2FD8">
      <w:footerReference w:type="default" r:id="rId7"/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077" w:rsidRDefault="00BE0077" w:rsidP="00E5031C">
      <w:r>
        <w:separator/>
      </w:r>
    </w:p>
  </w:endnote>
  <w:endnote w:type="continuationSeparator" w:id="0">
    <w:p w:rsidR="00BE0077" w:rsidRDefault="00BE0077" w:rsidP="00E5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FD8" w:rsidRDefault="00BE0077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</w:instrText>
    </w:r>
    <w:r>
      <w:rPr>
        <w:caps/>
        <w:color w:val="4F81BD" w:themeColor="accent1"/>
      </w:rPr>
      <w:instrText xml:space="preserve">  \* MERGEFORMAT </w:instrText>
    </w:r>
    <w:r>
      <w:rPr>
        <w:caps/>
        <w:color w:val="4F81BD" w:themeColor="accent1"/>
      </w:rPr>
      <w:fldChar w:fldCharType="separate"/>
    </w:r>
    <w:r w:rsidR="0028724C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D2FD8" w:rsidRDefault="00BE0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077" w:rsidRDefault="00BE0077" w:rsidP="00E5031C">
      <w:r>
        <w:separator/>
      </w:r>
    </w:p>
  </w:footnote>
  <w:footnote w:type="continuationSeparator" w:id="0">
    <w:p w:rsidR="00BE0077" w:rsidRDefault="00BE0077" w:rsidP="00E5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5CF3"/>
    <w:multiLevelType w:val="hybridMultilevel"/>
    <w:tmpl w:val="05C494D0"/>
    <w:lvl w:ilvl="0" w:tplc="9A6A80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031C"/>
    <w:rsid w:val="000E711E"/>
    <w:rsid w:val="000E74A6"/>
    <w:rsid w:val="000F2247"/>
    <w:rsid w:val="0011431C"/>
    <w:rsid w:val="00161BFE"/>
    <w:rsid w:val="00213CCB"/>
    <w:rsid w:val="00217414"/>
    <w:rsid w:val="002431AD"/>
    <w:rsid w:val="00252F65"/>
    <w:rsid w:val="0026610A"/>
    <w:rsid w:val="0028724C"/>
    <w:rsid w:val="002919C5"/>
    <w:rsid w:val="002E2B2E"/>
    <w:rsid w:val="00322474"/>
    <w:rsid w:val="00347FD3"/>
    <w:rsid w:val="00385186"/>
    <w:rsid w:val="003C2A41"/>
    <w:rsid w:val="00405DEF"/>
    <w:rsid w:val="00445BFB"/>
    <w:rsid w:val="00493B92"/>
    <w:rsid w:val="004D0CAC"/>
    <w:rsid w:val="005F1A78"/>
    <w:rsid w:val="0067234A"/>
    <w:rsid w:val="006B753D"/>
    <w:rsid w:val="006C6EDF"/>
    <w:rsid w:val="006F6C64"/>
    <w:rsid w:val="00797E92"/>
    <w:rsid w:val="007A359C"/>
    <w:rsid w:val="007D2A6B"/>
    <w:rsid w:val="0080709E"/>
    <w:rsid w:val="008910F9"/>
    <w:rsid w:val="008B2C2E"/>
    <w:rsid w:val="009740F0"/>
    <w:rsid w:val="00A0015B"/>
    <w:rsid w:val="00A85304"/>
    <w:rsid w:val="00AB7B4E"/>
    <w:rsid w:val="00AE2278"/>
    <w:rsid w:val="00BB56E7"/>
    <w:rsid w:val="00BE0077"/>
    <w:rsid w:val="00C41B2D"/>
    <w:rsid w:val="00C41B88"/>
    <w:rsid w:val="00C43154"/>
    <w:rsid w:val="00C5314B"/>
    <w:rsid w:val="00C5456E"/>
    <w:rsid w:val="00CA5A4E"/>
    <w:rsid w:val="00DA2367"/>
    <w:rsid w:val="00DC2CDB"/>
    <w:rsid w:val="00E20BBC"/>
    <w:rsid w:val="00E5031C"/>
    <w:rsid w:val="00EB3019"/>
    <w:rsid w:val="00EC39EB"/>
    <w:rsid w:val="00EF6A89"/>
    <w:rsid w:val="00F03F4A"/>
    <w:rsid w:val="00F12945"/>
    <w:rsid w:val="00F45FFF"/>
    <w:rsid w:val="00FA6AC5"/>
    <w:rsid w:val="00FC34FD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4D02"/>
  <w15:docId w15:val="{AF875737-65D7-40B4-ABA2-AF97E63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14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A41"/>
    <w:pPr>
      <w:keepNext/>
      <w:keepLines/>
      <w:spacing w:before="260" w:after="260" w:line="415" w:lineRule="auto"/>
      <w:outlineLvl w:val="1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3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03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03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031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C2A41"/>
    <w:rPr>
      <w:rFonts w:ascii="Times New Roman" w:eastAsia="宋体" w:hAnsi="Times New Roman"/>
      <w:b/>
      <w:bCs/>
      <w:sz w:val="24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C2A41"/>
    <w:rPr>
      <w:rFonts w:ascii="宋体" w:eastAsia="宋体" w:hAnsi="宋体" w:cs="宋体" w:hint="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4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DefaultParagraphFont"/>
    <w:rsid w:val="003C2A41"/>
  </w:style>
  <w:style w:type="character" w:customStyle="1" w:styleId="hljs-number">
    <w:name w:val="hljs-number"/>
    <w:basedOn w:val="DefaultParagraphFont"/>
    <w:rsid w:val="003C2A41"/>
  </w:style>
  <w:style w:type="character" w:customStyle="1" w:styleId="hljs-keyword">
    <w:name w:val="hljs-keyword"/>
    <w:basedOn w:val="DefaultParagraphFont"/>
    <w:rsid w:val="003C2A41"/>
  </w:style>
  <w:style w:type="character" w:customStyle="1" w:styleId="hljs-string">
    <w:name w:val="hljs-string"/>
    <w:basedOn w:val="DefaultParagraphFont"/>
    <w:rsid w:val="003C2A41"/>
  </w:style>
  <w:style w:type="paragraph" w:styleId="NormalWeb">
    <w:name w:val="Normal (Web)"/>
    <w:basedOn w:val="Normal"/>
    <w:uiPriority w:val="99"/>
    <w:semiHidden/>
    <w:unhideWhenUsed/>
    <w:rsid w:val="000E7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2F65"/>
    <w:pPr>
      <w:ind w:firstLineChars="200" w:firstLine="420"/>
    </w:pPr>
  </w:style>
  <w:style w:type="table" w:customStyle="1" w:styleId="TableGrid1">
    <w:name w:val="Table Grid1"/>
    <w:basedOn w:val="TableNormal"/>
    <w:next w:val="TableGrid"/>
    <w:uiPriority w:val="39"/>
    <w:rsid w:val="008910F9"/>
    <w:rPr>
      <w:rFonts w:asci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91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李 政宵</cp:lastModifiedBy>
  <cp:revision>32</cp:revision>
  <dcterms:created xsi:type="dcterms:W3CDTF">2017-02-02T06:29:00Z</dcterms:created>
  <dcterms:modified xsi:type="dcterms:W3CDTF">2020-05-13T09:07:00Z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