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代码哨兵 CodeGuard</w:t>
      </w:r>
    </w:p>
    <w:p>
      <w:pPr>
        <w:jc w:val="center"/>
      </w:pPr>
      <w:r>
        <w:rPr>
          <w:color w:val="2467A6"/>
          <w:sz w:val="30"/>
        </w:rPr>
        <w:t>测试报告</w:t>
      </w:r>
    </w:p>
    <w:p>
      <w:pPr>
        <w:spacing w:before="1600"/>
        <w:jc w:val="center"/>
      </w:pPr>
      <w:r>
        <w:rPr>
          <w:b/>
        </w:rPr>
        <w:t>强网杯大学生创新创业作品赛道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项目名称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代码哨兵 CodeGuard</w:t>
            </w:r>
          </w:p>
        </w:tc>
      </w:tr>
      <w:tr>
        <w:tc>
          <w:tcPr>
            <w:tcW w:type="dxa" w:w="48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作品方向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代码敏感信息泄露风险审计</w:t>
            </w:r>
          </w:p>
        </w:tc>
      </w:tr>
      <w:tr>
        <w:tc>
          <w:tcPr>
            <w:tcW w:type="dxa" w:w="48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团队信息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待填：团队成员、学校、指导教师</w:t>
            </w:r>
          </w:p>
        </w:tc>
      </w:tr>
      <w:tr>
        <w:tc>
          <w:tcPr>
            <w:tcW w:type="dxa" w:w="48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文档用途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比赛申报与项目展示</w:t>
            </w:r>
          </w:p>
        </w:tc>
      </w:tr>
    </w:tbl>
    <w:p>
      <w:r>
        <w:br w:type="page"/>
      </w:r>
    </w:p>
    <w:p>
      <w:pPr>
        <w:pStyle w:val="Heading1"/>
      </w:pPr>
      <w:r>
        <w:t>一 测试目的</w:t>
      </w:r>
    </w:p>
    <w:p>
      <w:r>
        <w:t>验证 CodeGuard 的核心扫描逻辑、风险分级、ZIP 输入、人工状态更新、PDF 报告接口和 DeepSeek 未配置时的降级行为，确认系统可以支撑比赛现场演示和课程作业使用。</w:t>
      </w:r>
    </w:p>
    <w:p>
      <w:pPr>
        <w:pStyle w:val="Heading1"/>
      </w:pPr>
      <w:r>
        <w:t>二 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304"/>
            <w:shd w:fill="123B61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6624"/>
            <w:shd w:fill="123B61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</w:rPr>
              <w:t>配置</w:t>
            </w:r>
          </w:p>
        </w:tc>
      </w:tr>
      <w:t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操作系统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Windows</w:t>
            </w:r>
          </w:p>
        </w:tc>
      </w:tr>
      <w:t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Python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3.12</w:t>
            </w:r>
          </w:p>
        </w:tc>
      </w:tr>
      <w:t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后端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Flask</w:t>
            </w:r>
          </w:p>
        </w:tc>
      </w:tr>
      <w:t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报告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ReportLab</w:t>
            </w:r>
          </w:p>
        </w:tc>
      </w:tr>
      <w:t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测试框架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pytest</w:t>
            </w:r>
          </w:p>
        </w:tc>
      </w:tr>
      <w:t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模型接口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DeepSeek，可选</w:t>
            </w:r>
          </w:p>
        </w:tc>
      </w:tr>
    </w:tbl>
    <w:p/>
    <w:p>
      <w:pPr>
        <w:pStyle w:val="Heading1"/>
      </w:pPr>
      <w:r>
        <w:t>三 自动化测试结果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864"/>
            <w:shd w:fill="123B61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2880"/>
            <w:shd w:fill="123B61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</w:rPr>
              <w:t>测试内容</w:t>
            </w:r>
          </w:p>
        </w:tc>
        <w:tc>
          <w:tcPr>
            <w:tcW w:type="dxa" w:w="4032"/>
            <w:shd w:fill="123B61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</w:rPr>
              <w:t>预期结果</w:t>
            </w:r>
          </w:p>
        </w:tc>
        <w:tc>
          <w:tcPr>
            <w:tcW w:type="dxa" w:w="1152"/>
            <w:shd w:fill="123B61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</w:rPr>
              <w:t>结果</w:t>
            </w:r>
          </w:p>
        </w:tc>
      </w:tr>
      <w:t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T01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识别多个敏感类别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API Key、数据库密码、邮箱、手机号和 JWT 被识别</w:t>
            </w:r>
          </w:p>
        </w:tc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通过</w:t>
            </w:r>
          </w:p>
        </w:tc>
      </w:tr>
      <w:t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T02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占位符降权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your_key_here 等样例值不直接判为高风险</w:t>
            </w:r>
          </w:p>
        </w:tc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通过</w:t>
            </w:r>
          </w:p>
        </w:tc>
      </w:tr>
      <w:t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T03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忽略依赖目录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node_modules 等目录不进入扫描结果</w:t>
            </w:r>
          </w:p>
        </w:tc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通过</w:t>
            </w:r>
          </w:p>
        </w:tc>
      </w:tr>
      <w:t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T04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安全评分计算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存在高风险时评分低于 100</w:t>
            </w:r>
          </w:p>
        </w:tc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通过</w:t>
            </w:r>
          </w:p>
        </w:tc>
      </w:tr>
      <w:t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T05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文本接口冒烟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接口返回扫描结果和风险摘要</w:t>
            </w:r>
          </w:p>
        </w:tc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通过</w:t>
            </w:r>
          </w:p>
        </w:tc>
      </w:tr>
      <w:t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T06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ZIP 接口冒烟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ZIP 内可支持文件被扫描</w:t>
            </w:r>
          </w:p>
        </w:tc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通过</w:t>
            </w:r>
          </w:p>
        </w:tc>
      </w:tr>
      <w:t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T07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PDF 接口冒烟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接口返回 application/pdf</w:t>
            </w:r>
          </w:p>
        </w:tc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通过</w:t>
            </w:r>
          </w:p>
        </w:tc>
      </w:tr>
    </w:tbl>
    <w:p/>
    <w:p>
      <w:pPr>
        <w:pStyle w:val="Heading1"/>
      </w:pPr>
      <w:r>
        <w:t>四 关键行为验证</w:t>
      </w:r>
    </w:p>
    <w:p>
      <w:pPr>
        <w:pStyle w:val="ListBullet"/>
      </w:pPr>
      <w:r>
        <w:t>系统在本地完成基础扫描，不需要 DeepSeek 才能输出结果。</w:t>
      </w:r>
    </w:p>
    <w:p>
      <w:pPr>
        <w:pStyle w:val="ListBullet"/>
      </w:pPr>
      <w:r>
        <w:t>未配置 API Key 时，风险项仍然可以查看内置中文建议和示例代码。</w:t>
      </w:r>
    </w:p>
    <w:p>
      <w:pPr>
        <w:pStyle w:val="ListBullet"/>
      </w:pPr>
      <w:r>
        <w:t>调用 DeepSeek 的代码只使用 finding.masked_line 作为临时上下文，未实现自动修改或回写接口。</w:t>
      </w:r>
    </w:p>
    <w:p>
      <w:pPr>
        <w:pStyle w:val="ListBullet"/>
      </w:pPr>
      <w:r>
        <w:t>ZIP 解压过程拒绝绝对路径和包含 .. 的路径，限制单文件大小和文件数量。</w:t>
      </w:r>
    </w:p>
    <w:p>
      <w:pPr>
        <w:pStyle w:val="ListBullet"/>
      </w:pPr>
      <w:r>
        <w:t>PDF 报告默认展示脱敏代码行，降低报告二次传播风险。</w:t>
      </w:r>
    </w:p>
    <w:p>
      <w:pPr>
        <w:pStyle w:val="Heading1"/>
      </w:pPr>
      <w:r>
        <w:t>五 演示数据</w:t>
      </w:r>
    </w:p>
    <w:p>
      <w:r>
        <w:t>data/demo_project.zip 为教学演示数据，包含虚构的 API Key、数据库密码、JWT Token、邮箱、手机号和云访问密钥。所有值仅用于演示，不对应真实账号或真实服务。</w:t>
      </w:r>
    </w:p>
    <w:p>
      <w:pPr>
        <w:pStyle w:val="Heading1"/>
      </w:pPr>
      <w:r>
        <w:t>六 已知限制</w:t>
      </w:r>
    </w:p>
    <w:p>
      <w:pPr>
        <w:pStyle w:val="ListBullet"/>
      </w:pPr>
      <w:r>
        <w:t>规则检测不能覆盖所有自定义凭据格式，存在误报和漏报可能。</w:t>
      </w:r>
    </w:p>
    <w:p>
      <w:pPr>
        <w:pStyle w:val="ListBullet"/>
      </w:pPr>
      <w:r>
        <w:t>当前结果保存在进程内存，重启服务后不会保留历史扫描记录。</w:t>
      </w:r>
    </w:p>
    <w:p>
      <w:pPr>
        <w:pStyle w:val="ListBullet"/>
      </w:pPr>
      <w:r>
        <w:t>DeepSeek 建议依赖外部网络和用户自己的 API 配额。</w:t>
      </w:r>
    </w:p>
    <w:p>
      <w:pPr>
        <w:pStyle w:val="ListBullet"/>
      </w:pPr>
      <w:r>
        <w:t>系统暂未接入真实 Git 平台、企业密钥库或持续集成流水线。</w:t>
      </w:r>
    </w:p>
    <w:p>
      <w:pPr>
        <w:pStyle w:val="Heading1"/>
      </w:pPr>
      <w:r>
        <w:t>七 结论</w:t>
      </w:r>
    </w:p>
    <w:p>
      <w:r>
        <w:t>当前版本已经覆盖比赛演示所需主流程：输入代码、发现风险、定位代码行、查看建议、人工确认和导出 PDF。自动化测试与接口冒烟测试均通过，可以在继续补充现场演示脚本和材料脱敏检查后用于项目展示。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899"/>
        <w:sz w:val="16"/>
      </w:rPr>
      <w:t>代码哨兵 CodeGuard  |  项目材料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331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23B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67A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67A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23B6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