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代码哨兵 CodeGuard</w:t>
      </w:r>
    </w:p>
    <w:p>
      <w:pPr>
        <w:jc w:val="center"/>
      </w:pPr>
      <w:r>
        <w:rPr>
          <w:color w:val="2467A6"/>
          <w:sz w:val="30"/>
        </w:rPr>
        <w:t>用户手册</w:t>
      </w:r>
    </w:p>
    <w:p>
      <w:pPr>
        <w:spacing w:before="1600"/>
        <w:jc w:val="center"/>
      </w:pPr>
      <w:r>
        <w:rPr>
          <w:b/>
        </w:rPr>
        <w:t>强网杯大学生创新创业作品赛道</w:t>
      </w:r>
    </w:p>
    <w:p/>
    <w:tbl>
      <w:tblPr>
        <w:tblStyle w:val="TableGrid"/>
        <w:tblW w:type="auto" w:w="0"/>
        <w:jc w:val="center"/>
        <w:tblLook w:firstColumn="1" w:firstRow="1" w:lastColumn="0" w:lastRow="0" w:noHBand="0" w:noVBand="1" w:val="04A0"/>
      </w:tblPr>
      <w:tblGrid>
        <w:gridCol w:w="4896"/>
        <w:gridCol w:w="4896"/>
      </w:tblGrid>
      <w:tr>
        <w:tc>
          <w:tcPr>
            <w:tcW w:type="dxa" w:w="4896"/>
            <w:shd w:fill="EAF2F8"/>
            <w:vAlign w:val="center"/>
            <w:tcMar>
              <w:top w:w="100" w:type="dxa"/>
              <w:start w:w="120" w:type="dxa"/>
              <w:bottom w:w="100" w:type="dxa"/>
              <w:end w:w="120" w:type="dxa"/>
            </w:tcMar>
          </w:tcPr>
          <w:p>
            <w:r>
              <w:t>项目名称</w:t>
            </w:r>
          </w:p>
        </w:tc>
        <w:tc>
          <w:tcPr>
            <w:tcW w:type="dxa" w:w="4896"/>
            <w:vAlign w:val="center"/>
            <w:tcMar>
              <w:top w:w="100" w:type="dxa"/>
              <w:start w:w="120" w:type="dxa"/>
              <w:bottom w:w="100" w:type="dxa"/>
              <w:end w:w="120" w:type="dxa"/>
            </w:tcMar>
          </w:tcPr>
          <w:p>
            <w:r>
              <w:t>代码哨兵 CodeGuard</w:t>
            </w:r>
          </w:p>
        </w:tc>
      </w:tr>
      <w:tr>
        <w:tc>
          <w:tcPr>
            <w:tcW w:type="dxa" w:w="4896"/>
            <w:shd w:fill="EAF2F8"/>
            <w:vAlign w:val="center"/>
            <w:tcMar>
              <w:top w:w="100" w:type="dxa"/>
              <w:start w:w="120" w:type="dxa"/>
              <w:bottom w:w="100" w:type="dxa"/>
              <w:end w:w="120" w:type="dxa"/>
            </w:tcMar>
          </w:tcPr>
          <w:p>
            <w:r>
              <w:t>作品方向</w:t>
            </w:r>
          </w:p>
        </w:tc>
        <w:tc>
          <w:tcPr>
            <w:tcW w:type="dxa" w:w="4896"/>
            <w:vAlign w:val="center"/>
            <w:tcMar>
              <w:top w:w="100" w:type="dxa"/>
              <w:start w:w="120" w:type="dxa"/>
              <w:bottom w:w="100" w:type="dxa"/>
              <w:end w:w="120" w:type="dxa"/>
            </w:tcMar>
          </w:tcPr>
          <w:p>
            <w:r>
              <w:t>代码敏感信息泄露风险审计</w:t>
            </w:r>
          </w:p>
        </w:tc>
      </w:tr>
      <w:tr>
        <w:tc>
          <w:tcPr>
            <w:tcW w:type="dxa" w:w="4896"/>
            <w:shd w:fill="EAF2F8"/>
            <w:vAlign w:val="center"/>
            <w:tcMar>
              <w:top w:w="100" w:type="dxa"/>
              <w:start w:w="120" w:type="dxa"/>
              <w:bottom w:w="100" w:type="dxa"/>
              <w:end w:w="120" w:type="dxa"/>
            </w:tcMar>
          </w:tcPr>
          <w:p>
            <w:r>
              <w:t>团队信息</w:t>
            </w:r>
          </w:p>
        </w:tc>
        <w:tc>
          <w:tcPr>
            <w:tcW w:type="dxa" w:w="4896"/>
            <w:vAlign w:val="center"/>
            <w:tcMar>
              <w:top w:w="100" w:type="dxa"/>
              <w:start w:w="120" w:type="dxa"/>
              <w:bottom w:w="100" w:type="dxa"/>
              <w:end w:w="120" w:type="dxa"/>
            </w:tcMar>
          </w:tcPr>
          <w:p>
            <w:r>
              <w:t>待填：团队成员、学校、指导教师</w:t>
            </w:r>
          </w:p>
        </w:tc>
      </w:tr>
      <w:tr>
        <w:tc>
          <w:tcPr>
            <w:tcW w:type="dxa" w:w="4896"/>
            <w:shd w:fill="EAF2F8"/>
            <w:vAlign w:val="center"/>
            <w:tcMar>
              <w:top w:w="100" w:type="dxa"/>
              <w:start w:w="120" w:type="dxa"/>
              <w:bottom w:w="100" w:type="dxa"/>
              <w:end w:w="120" w:type="dxa"/>
            </w:tcMar>
          </w:tcPr>
          <w:p>
            <w:r>
              <w:t>文档用途</w:t>
            </w:r>
          </w:p>
        </w:tc>
        <w:tc>
          <w:tcPr>
            <w:tcW w:type="dxa" w:w="4896"/>
            <w:vAlign w:val="center"/>
            <w:tcMar>
              <w:top w:w="100" w:type="dxa"/>
              <w:start w:w="120" w:type="dxa"/>
              <w:bottom w:w="100" w:type="dxa"/>
              <w:end w:w="120" w:type="dxa"/>
            </w:tcMar>
          </w:tcPr>
          <w:p>
            <w:r>
              <w:t>比赛申报与项目展示</w:t>
            </w:r>
          </w:p>
        </w:tc>
      </w:tr>
    </w:tbl>
    <w:p>
      <w:r>
        <w:br w:type="page"/>
      </w:r>
    </w:p>
    <w:p>
      <w:pPr>
        <w:pStyle w:val="Heading1"/>
      </w:pPr>
      <w:r>
        <w:t>一 产品说明</w:t>
      </w:r>
    </w:p>
    <w:p>
      <w:r>
        <w:t>CodeGuard 代码安全审计平台帮助学生和教师在代码提交前发现敏感信息泄露线索。平台支持本地网页访问，扫描器在本机完成，DeepSeek 只负责可选的建议优化。</w:t>
      </w:r>
    </w:p>
    <w:p>
      <w:pPr>
        <w:pStyle w:val="Heading1"/>
      </w:pPr>
      <w:r>
        <w:t>二 安装环境</w:t>
      </w:r>
    </w:p>
    <w:p>
      <w:pPr>
        <w:pStyle w:val="ListBullet"/>
      </w:pPr>
      <w:r>
        <w:t>Windows 10 或 Windows 11。</w:t>
      </w:r>
    </w:p>
    <w:p>
      <w:pPr>
        <w:pStyle w:val="ListBullet"/>
      </w:pPr>
      <w:r>
        <w:t>Python 3.10 及以上版本。</w:t>
      </w:r>
    </w:p>
    <w:p>
      <w:pPr>
        <w:pStyle w:val="ListBullet"/>
      </w:pPr>
      <w:r>
        <w:t>允许联网时可以配置 DeepSeek API；未配置时仍可使用本地检测。</w:t>
      </w:r>
    </w:p>
    <w:p>
      <w:pPr>
        <w:pStyle w:val="ListBullet"/>
      </w:pPr>
      <w:r>
        <w:t>浏览器使用 Chrome、Edge 或其他现代浏览器。</w:t>
      </w:r>
    </w:p>
    <w:p>
      <w:pPr>
        <w:pStyle w:val="Heading1"/>
      </w:pPr>
      <w:r>
        <w:t>三 启动系统</w:t>
      </w:r>
    </w:p>
    <w:p>
      <w:r>
        <w:t>在项目根目录打开 PowerShell，依次执行以下命令：</w:t>
      </w:r>
    </w:p>
    <w:p>
      <w:pPr>
        <w:pStyle w:val="IntenseQuote"/>
      </w:pPr>
      <w:r>
        <w:t>python -m venv .venv</w:t>
        <w:br/>
        <w:t>.\.venv\Scripts\Activate.ps1</w:t>
        <w:br/>
        <w:t>pip install -r requirements.txt</w:t>
        <w:br/>
        <w:t>Copy-Item .env.example .env</w:t>
        <w:br/>
        <w:t>python run.py</w:t>
      </w:r>
    </w:p>
    <w:p>
      <w:r>
        <w:t>启动后在浏览器打开 http://127.0.0.1:5000。</w:t>
      </w:r>
    </w:p>
    <w:p>
      <w:pPr>
        <w:pStyle w:val="Heading1"/>
      </w:pPr>
      <w:r>
        <w:t>四 粘贴代码检测</w:t>
      </w:r>
    </w:p>
    <w:p>
      <w:pPr>
        <w:pStyle w:val="ListBullet"/>
      </w:pPr>
      <w:r>
        <w:t>选择“粘贴代码”标签。</w:t>
      </w:r>
    </w:p>
    <w:p>
      <w:pPr>
        <w:pStyle w:val="ListBullet"/>
      </w:pPr>
      <w:r>
        <w:t>填写代码文件名，例如 demo.py。</w:t>
      </w:r>
    </w:p>
    <w:p>
      <w:pPr>
        <w:pStyle w:val="ListBullet"/>
      </w:pPr>
      <w:r>
        <w:t>粘贴待检测代码，点击“开始检测”。</w:t>
      </w:r>
    </w:p>
    <w:p>
      <w:pPr>
        <w:pStyle w:val="ListBullet"/>
      </w:pPr>
      <w:r>
        <w:t>系统展示风险数量、安全评分、文件位置和问题清单。</w:t>
      </w:r>
    </w:p>
    <w:p>
      <w:pPr>
        <w:pStyle w:val="Heading1"/>
      </w:pPr>
      <w:r>
        <w:t>五 ZIP 项目检测</w:t>
      </w:r>
    </w:p>
    <w:p>
      <w:pPr>
        <w:pStyle w:val="ListBullet"/>
      </w:pPr>
      <w:r>
        <w:t>选择“上传 ZIP”标签并选择项目压缩包。</w:t>
      </w:r>
    </w:p>
    <w:p>
      <w:pPr>
        <w:pStyle w:val="ListBullet"/>
      </w:pPr>
      <w:r>
        <w:t>单个 ZIP 最大 20 MB，最多读取 500 个文件。</w:t>
      </w:r>
    </w:p>
    <w:p>
      <w:pPr>
        <w:pStyle w:val="ListBullet"/>
      </w:pPr>
      <w:r>
        <w:t>系统会忽略 .git、node_modules、虚拟环境、构建目录和二进制文件。</w:t>
      </w:r>
    </w:p>
    <w:p>
      <w:pPr>
        <w:pStyle w:val="ListBullet"/>
      </w:pPr>
      <w:r>
        <w:t>压缩包路径会经过安全校验，避免读取路径穿越目标。</w:t>
      </w:r>
    </w:p>
    <w:p>
      <w:pPr>
        <w:pStyle w:val="Heading1"/>
      </w:pPr>
      <w:r>
        <w:t>六 阅读和确认风险</w:t>
      </w:r>
    </w:p>
    <w:p>
      <w:r>
        <w:t>点击右侧问题清单中的一条风险，左侧会显示文件名、行号、风险类型和原始代码行。列表中的置信度用于辅助判断，不代表密钥一定有效。可以把问题标记为已确认、误报、已修复或忽略本次。</w:t>
      </w:r>
    </w:p>
    <w:p>
      <w:pPr>
        <w:pStyle w:val="Heading1"/>
      </w:pPr>
      <w:r>
        <w:t>七 查看修复建议</w:t>
      </w:r>
    </w:p>
    <w:p>
      <w:r>
        <w:t>系统默认提供内置中文建议和正确示例。配置 DeepSeek 后，可以点击“使用 DeepSeek 优化建议”。发送给模型的只是临时脱敏上下文，系统不会把真实敏感值作为建议请求发送，也不会自动修改本地源码。</w:t>
      </w:r>
    </w:p>
    <w:p>
      <w:pPr>
        <w:pStyle w:val="Heading1"/>
      </w:pPr>
      <w:r>
        <w:t>八 配置 DeepSeek</w:t>
      </w:r>
    </w:p>
    <w:p>
      <w:r>
        <w:t>复制 .env.example 为 .env，填写 DEEPSEEK_API_KEY。可以按需要修改 DEEPSEEK_MODEL 和 DEEPSEEK_BASE_URL。请不要把真实 Key 提交到代码仓库、截图、PDF 或申报材料中。</w:t>
      </w:r>
    </w:p>
    <w:p>
      <w:pPr>
        <w:pStyle w:val="Heading1"/>
      </w:pPr>
      <w:r>
        <w:t>九 导出 PDF 报告</w:t>
      </w:r>
    </w:p>
    <w:p>
      <w:r>
        <w:t>完成扫描后点击“导出 PDF 报告”。报告包含扫描时间、文件和代码行统计、安全评分、风险等级分布、问题详情、修复建议和整改记录。建议在完成人工确认后导出最终版。</w:t>
      </w:r>
    </w:p>
    <w:p>
      <w:pPr>
        <w:pStyle w:val="Heading1"/>
      </w:pPr>
      <w:r>
        <w:t>十 使用边界</w:t>
      </w:r>
    </w:p>
    <w:p>
      <w:pPr>
        <w:pStyle w:val="ListBullet"/>
      </w:pPr>
      <w:r>
        <w:t>系统是教育性代码安全辅助工具，不替代正式安全审计。</w:t>
      </w:r>
    </w:p>
    <w:p>
      <w:pPr>
        <w:pStyle w:val="ListBullet"/>
      </w:pPr>
      <w:r>
        <w:t>系统不验证密钥是否有效，也不执行任何外部系统操作。</w:t>
      </w:r>
    </w:p>
    <w:p>
      <w:pPr>
        <w:pStyle w:val="ListBullet"/>
      </w:pPr>
      <w:r>
        <w:t>系统不会自动修改或覆盖源代码。</w:t>
      </w:r>
    </w:p>
    <w:p>
      <w:pPr>
        <w:pStyle w:val="ListBullet"/>
      </w:pPr>
      <w:r>
        <w:t>发现真实密钥后，应立即轮换凭据，并检查版本历史和日志。</w:t>
      </w:r>
    </w:p>
    <w:p>
      <w:pPr>
        <w:pStyle w:val="Heading1"/>
      </w:pPr>
      <w:r>
        <w:t>十一 常见问题</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024"/>
            <w:shd w:fill="123B61"/>
            <w:tcMar>
              <w:top w:w="120" w:type="dxa"/>
              <w:start w:w="110" w:type="dxa"/>
              <w:bottom w:w="120" w:type="dxa"/>
              <w:end w:w="110" w:type="dxa"/>
            </w:tcMar>
          </w:tcPr>
          <w:p>
            <w:r>
              <w:rPr>
                <w:b/>
                <w:color w:val="FFFFFF"/>
              </w:rPr>
              <w:t>问题</w:t>
            </w:r>
          </w:p>
        </w:tc>
        <w:tc>
          <w:tcPr>
            <w:tcW w:type="dxa" w:w="5904"/>
            <w:shd w:fill="123B61"/>
            <w:tcMar>
              <w:top w:w="120" w:type="dxa"/>
              <w:start w:w="110" w:type="dxa"/>
              <w:bottom w:w="120" w:type="dxa"/>
              <w:end w:w="110" w:type="dxa"/>
            </w:tcMar>
          </w:tcPr>
          <w:p>
            <w:r>
              <w:rPr>
                <w:b/>
                <w:color w:val="FFFFFF"/>
              </w:rPr>
              <w:t>处理方式</w:t>
            </w:r>
          </w:p>
        </w:tc>
      </w:tr>
      <w:tr>
        <w:tc>
          <w:tcPr>
            <w:tcW w:type="dxa" w:w="3024"/>
            <w:tcMar>
              <w:top w:w="100" w:type="dxa"/>
              <w:start w:w="110" w:type="dxa"/>
              <w:bottom w:w="100" w:type="dxa"/>
              <w:end w:w="110" w:type="dxa"/>
            </w:tcMar>
            <w:vAlign w:val="center"/>
          </w:tcPr>
          <w:p>
            <w:r>
              <w:t>页面无法打开</w:t>
            </w:r>
          </w:p>
        </w:tc>
        <w:tc>
          <w:tcPr>
            <w:tcW w:type="dxa" w:w="5904"/>
            <w:tcMar>
              <w:top w:w="100" w:type="dxa"/>
              <w:start w:w="110" w:type="dxa"/>
              <w:bottom w:w="100" w:type="dxa"/>
              <w:end w:w="110" w:type="dxa"/>
            </w:tcMar>
            <w:vAlign w:val="center"/>
          </w:tcPr>
          <w:p>
            <w:r>
              <w:t>确认 run.py 仍在运行，并访问 http://127.0.0.1:5000。</w:t>
            </w:r>
          </w:p>
        </w:tc>
      </w:tr>
      <w:tr>
        <w:tc>
          <w:tcPr>
            <w:tcW w:type="dxa" w:w="3024"/>
            <w:tcMar>
              <w:top w:w="100" w:type="dxa"/>
              <w:start w:w="110" w:type="dxa"/>
              <w:bottom w:w="100" w:type="dxa"/>
              <w:end w:w="110" w:type="dxa"/>
            </w:tcMar>
            <w:vAlign w:val="center"/>
          </w:tcPr>
          <w:p>
            <w:r>
              <w:t>没有发现风险</w:t>
            </w:r>
          </w:p>
        </w:tc>
        <w:tc>
          <w:tcPr>
            <w:tcW w:type="dxa" w:w="5904"/>
            <w:tcMar>
              <w:top w:w="100" w:type="dxa"/>
              <w:start w:w="110" w:type="dxa"/>
              <w:bottom w:w="100" w:type="dxa"/>
              <w:end w:w="110" w:type="dxa"/>
            </w:tcMar>
            <w:vAlign w:val="center"/>
          </w:tcPr>
          <w:p>
            <w:r>
              <w:t>检查文件后缀是否支持，并进行人工复核；检测器不保证覆盖所有凭据格式。</w:t>
            </w:r>
          </w:p>
        </w:tc>
      </w:tr>
      <w:tr>
        <w:tc>
          <w:tcPr>
            <w:tcW w:type="dxa" w:w="3024"/>
            <w:tcMar>
              <w:top w:w="100" w:type="dxa"/>
              <w:start w:w="110" w:type="dxa"/>
              <w:bottom w:w="100" w:type="dxa"/>
              <w:end w:w="110" w:type="dxa"/>
            </w:tcMar>
            <w:vAlign w:val="center"/>
          </w:tcPr>
          <w:p>
            <w:r>
              <w:t>DeepSeek 建议失败</w:t>
            </w:r>
          </w:p>
        </w:tc>
        <w:tc>
          <w:tcPr>
            <w:tcW w:type="dxa" w:w="5904"/>
            <w:tcMar>
              <w:top w:w="100" w:type="dxa"/>
              <w:start w:w="110" w:type="dxa"/>
              <w:bottom w:w="100" w:type="dxa"/>
              <w:end w:w="110" w:type="dxa"/>
            </w:tcMar>
            <w:vAlign w:val="center"/>
          </w:tcPr>
          <w:p>
            <w:r>
              <w:t>检查网络和 .env 配置；本地检测与内置建议不受影响。</w:t>
            </w:r>
          </w:p>
        </w:tc>
      </w:tr>
      <w:tr>
        <w:tc>
          <w:tcPr>
            <w:tcW w:type="dxa" w:w="3024"/>
            <w:tcMar>
              <w:top w:w="100" w:type="dxa"/>
              <w:start w:w="110" w:type="dxa"/>
              <w:bottom w:w="100" w:type="dxa"/>
              <w:end w:w="110" w:type="dxa"/>
            </w:tcMar>
            <w:vAlign w:val="center"/>
          </w:tcPr>
          <w:p>
            <w:r>
              <w:t>ZIP 无法扫描</w:t>
            </w:r>
          </w:p>
        </w:tc>
        <w:tc>
          <w:tcPr>
            <w:tcW w:type="dxa" w:w="5904"/>
            <w:tcMar>
              <w:top w:w="100" w:type="dxa"/>
              <w:start w:w="110" w:type="dxa"/>
              <w:bottom w:w="100" w:type="dxa"/>
              <w:end w:w="110" w:type="dxa"/>
            </w:tcMar>
            <w:vAlign w:val="center"/>
          </w:tcPr>
          <w:p>
            <w:r>
              <w:t>确认文件是 ZIP，大小不超过 20 MB，并且包含支持的文本代码文件。</w:t>
            </w:r>
          </w:p>
        </w:tc>
      </w:tr>
    </w:tbl>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899"/>
        <w:sz w:val="16"/>
      </w:rPr>
      <w:t>代码哨兵 CodeGuard  |  项目材料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2331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123B61"/>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2467A6"/>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2467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Microsoft YaHei" w:hAnsi="Microsoft YaHei" w:eastAsia="Microsoft YaHei"/>
      <w:b/>
      <w:color w:val="123B6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