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代码哨兵 CodeGuard</w:t>
      </w:r>
    </w:p>
    <w:p>
      <w:pPr>
        <w:jc w:val="center"/>
      </w:pPr>
      <w:r>
        <w:rPr>
          <w:color w:val="2467A6"/>
          <w:sz w:val="30"/>
        </w:rPr>
        <w:t>项目申报书</w:t>
      </w:r>
    </w:p>
    <w:p>
      <w:pPr>
        <w:spacing w:before="1600"/>
        <w:jc w:val="center"/>
      </w:pPr>
      <w:r>
        <w:rPr>
          <w:b/>
        </w:rPr>
        <w:t>强网杯大学生创新创业作品赛道</w:t>
      </w:r>
    </w:p>
    <w:p/>
    <w:tbl>
      <w:tblPr>
        <w:tblStyle w:val="TableGrid"/>
        <w:tblW w:type="auto" w:w="0"/>
        <w:jc w:val="center"/>
        <w:tblLook w:firstColumn="1" w:firstRow="1" w:lastColumn="0" w:lastRow="0" w:noHBand="0" w:noVBand="1" w:val="04A0"/>
      </w:tblPr>
      <w:tblGrid>
        <w:gridCol w:w="4896"/>
        <w:gridCol w:w="4896"/>
      </w:tblGrid>
      <w:tr>
        <w:tc>
          <w:tcPr>
            <w:tcW w:type="dxa" w:w="4896"/>
            <w:shd w:fill="EAF2F8"/>
            <w:vAlign w:val="center"/>
            <w:tcMar>
              <w:top w:w="100" w:type="dxa"/>
              <w:start w:w="120" w:type="dxa"/>
              <w:bottom w:w="100" w:type="dxa"/>
              <w:end w:w="120" w:type="dxa"/>
            </w:tcMar>
          </w:tcPr>
          <w:p>
            <w:r>
              <w:t>项目名称</w:t>
            </w:r>
          </w:p>
        </w:tc>
        <w:tc>
          <w:tcPr>
            <w:tcW w:type="dxa" w:w="4896"/>
            <w:vAlign w:val="center"/>
            <w:tcMar>
              <w:top w:w="100" w:type="dxa"/>
              <w:start w:w="120" w:type="dxa"/>
              <w:bottom w:w="100" w:type="dxa"/>
              <w:end w:w="120" w:type="dxa"/>
            </w:tcMar>
          </w:tcPr>
          <w:p>
            <w:r>
              <w:t>代码哨兵 CodeGuard</w:t>
            </w:r>
          </w:p>
        </w:tc>
      </w:tr>
      <w:tr>
        <w:tc>
          <w:tcPr>
            <w:tcW w:type="dxa" w:w="4896"/>
            <w:shd w:fill="EAF2F8"/>
            <w:vAlign w:val="center"/>
            <w:tcMar>
              <w:top w:w="100" w:type="dxa"/>
              <w:start w:w="120" w:type="dxa"/>
              <w:bottom w:w="100" w:type="dxa"/>
              <w:end w:w="120" w:type="dxa"/>
            </w:tcMar>
          </w:tcPr>
          <w:p>
            <w:r>
              <w:t>作品方向</w:t>
            </w:r>
          </w:p>
        </w:tc>
        <w:tc>
          <w:tcPr>
            <w:tcW w:type="dxa" w:w="4896"/>
            <w:vAlign w:val="center"/>
            <w:tcMar>
              <w:top w:w="100" w:type="dxa"/>
              <w:start w:w="120" w:type="dxa"/>
              <w:bottom w:w="100" w:type="dxa"/>
              <w:end w:w="120" w:type="dxa"/>
            </w:tcMar>
          </w:tcPr>
          <w:p>
            <w:r>
              <w:t>代码敏感信息泄露风险审计</w:t>
            </w:r>
          </w:p>
        </w:tc>
      </w:tr>
      <w:tr>
        <w:tc>
          <w:tcPr>
            <w:tcW w:type="dxa" w:w="4896"/>
            <w:shd w:fill="EAF2F8"/>
            <w:vAlign w:val="center"/>
            <w:tcMar>
              <w:top w:w="100" w:type="dxa"/>
              <w:start w:w="120" w:type="dxa"/>
              <w:bottom w:w="100" w:type="dxa"/>
              <w:end w:w="120" w:type="dxa"/>
            </w:tcMar>
          </w:tcPr>
          <w:p>
            <w:r>
              <w:t>团队信息</w:t>
            </w:r>
          </w:p>
        </w:tc>
        <w:tc>
          <w:tcPr>
            <w:tcW w:type="dxa" w:w="4896"/>
            <w:vAlign w:val="center"/>
            <w:tcMar>
              <w:top w:w="100" w:type="dxa"/>
              <w:start w:w="120" w:type="dxa"/>
              <w:bottom w:w="100" w:type="dxa"/>
              <w:end w:w="120" w:type="dxa"/>
            </w:tcMar>
          </w:tcPr>
          <w:p>
            <w:r>
              <w:t>待填：团队成员、学校、指导教师</w:t>
            </w:r>
          </w:p>
        </w:tc>
      </w:tr>
      <w:tr>
        <w:tc>
          <w:tcPr>
            <w:tcW w:type="dxa" w:w="4896"/>
            <w:shd w:fill="EAF2F8"/>
            <w:vAlign w:val="center"/>
            <w:tcMar>
              <w:top w:w="100" w:type="dxa"/>
              <w:start w:w="120" w:type="dxa"/>
              <w:bottom w:w="100" w:type="dxa"/>
              <w:end w:w="120" w:type="dxa"/>
            </w:tcMar>
          </w:tcPr>
          <w:p>
            <w:r>
              <w:t>文档用途</w:t>
            </w:r>
          </w:p>
        </w:tc>
        <w:tc>
          <w:tcPr>
            <w:tcW w:type="dxa" w:w="4896"/>
            <w:vAlign w:val="center"/>
            <w:tcMar>
              <w:top w:w="100" w:type="dxa"/>
              <w:start w:w="120" w:type="dxa"/>
              <w:bottom w:w="100" w:type="dxa"/>
              <w:end w:w="120" w:type="dxa"/>
            </w:tcMar>
          </w:tcPr>
          <w:p>
            <w:r>
              <w:t>比赛申报与项目展示</w:t>
            </w:r>
          </w:p>
        </w:tc>
      </w:tr>
    </w:tbl>
    <w:p>
      <w:r>
        <w:br w:type="page"/>
      </w:r>
    </w:p>
    <w:p>
      <w:pPr>
        <w:pStyle w:val="Heading1"/>
      </w:pPr>
      <w:r>
        <w:t>项目概述</w:t>
      </w:r>
    </w:p>
    <w:p>
      <w:r>
        <w:t>代码哨兵 CodeGuard 是一个面向大学生和教师的代码敏感信息泄露风险审计平台。用户可以粘贴代码或上传 ZIP 项目，平台通过原创的混合检测策略识别 API Key、Access Key / Secret Key、数据库账号密码、JWT Token、邮箱、手机号和疑似高熵凭据，自动计算风险等级并定位到文件和代码行。平台同时提供人工复核、中文修复建议、正确示例代码和 PDF 审计报告，帮助学生在提交代码前建立密钥保护和隐私保护意识。</w:t>
      </w:r>
    </w:p>
    <w:p>
      <w:r>
        <w:t>本项目的核心边界是辅助发现和教学解释。系统不会自动修改源代码；调用 DeepSeek 时只向接口发送临时脱敏上下文，原始代码留在本地。</w:t>
      </w:r>
    </w:p>
    <w:p>
      <w:pPr>
        <w:pStyle w:val="Heading1"/>
      </w:pPr>
      <w:r>
        <w:t>一 项目背景</w:t>
      </w:r>
    </w:p>
    <w:p>
      <w:r>
        <w:t>在课程作业、实验项目和毕业设计中，学生经常把 API Key、数据库密码、令牌或个人信息直接写进源代码。问题通常不是因为缺少编程能力，而是因为密钥管理知识没有融入日常编码流程。一旦代码被上传到公开仓库、提交到教学平台或进入截图和文档，凭据就可能被复制、滥用或长期留存在版本历史中。</w:t>
      </w:r>
    </w:p>
    <w:p>
      <w:r>
        <w:t>现有学习过程往往停留在发现问题之后的口头提醒，学生看到了警告，却不一定理解风险来源和正确改法。CodeGuard 将扫描、解释、人工确认和报告归档放在同一个流程中，适合课程实验、代码作业检查和毕业设计留档。</w:t>
      </w:r>
    </w:p>
    <w:p>
      <w:pPr>
        <w:pStyle w:val="Heading1"/>
      </w:pPr>
      <w:r>
        <w:t>二 用户痛点</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1728"/>
            <w:shd w:fill="123B61"/>
            <w:tcMar>
              <w:top w:w="120" w:type="dxa"/>
              <w:start w:w="110" w:type="dxa"/>
              <w:bottom w:w="120" w:type="dxa"/>
              <w:end w:w="110" w:type="dxa"/>
            </w:tcMar>
          </w:tcPr>
          <w:p>
            <w:r>
              <w:rPr>
                <w:b/>
                <w:color w:val="FFFFFF"/>
              </w:rPr>
              <w:t>痛点</w:t>
            </w:r>
          </w:p>
        </w:tc>
        <w:tc>
          <w:tcPr>
            <w:tcW w:type="dxa" w:w="3312"/>
            <w:shd w:fill="123B61"/>
            <w:tcMar>
              <w:top w:w="120" w:type="dxa"/>
              <w:start w:w="110" w:type="dxa"/>
              <w:bottom w:w="120" w:type="dxa"/>
              <w:end w:w="110" w:type="dxa"/>
            </w:tcMar>
          </w:tcPr>
          <w:p>
            <w:r>
              <w:rPr>
                <w:b/>
                <w:color w:val="FFFFFF"/>
              </w:rPr>
              <w:t>具体表现</w:t>
            </w:r>
          </w:p>
        </w:tc>
        <w:tc>
          <w:tcPr>
            <w:tcW w:type="dxa" w:w="3888"/>
            <w:shd w:fill="123B61"/>
            <w:tcMar>
              <w:top w:w="120" w:type="dxa"/>
              <w:start w:w="110" w:type="dxa"/>
              <w:bottom w:w="120" w:type="dxa"/>
              <w:end w:w="110" w:type="dxa"/>
            </w:tcMar>
          </w:tcPr>
          <w:p>
            <w:r>
              <w:rPr>
                <w:b/>
                <w:color w:val="FFFFFF"/>
              </w:rPr>
              <w:t>项目回应</w:t>
            </w:r>
          </w:p>
        </w:tc>
      </w:tr>
      <w:tr>
        <w:tc>
          <w:tcPr>
            <w:tcW w:type="dxa" w:w="1728"/>
            <w:tcMar>
              <w:top w:w="100" w:type="dxa"/>
              <w:start w:w="110" w:type="dxa"/>
              <w:bottom w:w="100" w:type="dxa"/>
              <w:end w:w="110" w:type="dxa"/>
            </w:tcMar>
            <w:vAlign w:val="center"/>
          </w:tcPr>
          <w:p>
            <w:r>
              <w:t>发现不及时</w:t>
            </w:r>
          </w:p>
        </w:tc>
        <w:tc>
          <w:tcPr>
            <w:tcW w:type="dxa" w:w="3312"/>
            <w:tcMar>
              <w:top w:w="100" w:type="dxa"/>
              <w:start w:w="110" w:type="dxa"/>
              <w:bottom w:w="100" w:type="dxa"/>
              <w:end w:w="110" w:type="dxa"/>
            </w:tcMar>
            <w:vAlign w:val="center"/>
          </w:tcPr>
          <w:p>
            <w:r>
              <w:t>密钥通常在提交或展示之后才被发现</w:t>
            </w:r>
          </w:p>
        </w:tc>
        <w:tc>
          <w:tcPr>
            <w:tcW w:type="dxa" w:w="3888"/>
            <w:tcMar>
              <w:top w:w="100" w:type="dxa"/>
              <w:start w:w="110" w:type="dxa"/>
              <w:bottom w:w="100" w:type="dxa"/>
              <w:end w:w="110" w:type="dxa"/>
            </w:tcMar>
            <w:vAlign w:val="center"/>
          </w:tcPr>
          <w:p>
            <w:r>
              <w:t>支持粘贴代码和 ZIP 项目，提交前即可检查</w:t>
            </w:r>
          </w:p>
        </w:tc>
      </w:tr>
      <w:tr>
        <w:tc>
          <w:tcPr>
            <w:tcW w:type="dxa" w:w="1728"/>
            <w:tcMar>
              <w:top w:w="100" w:type="dxa"/>
              <w:start w:w="110" w:type="dxa"/>
              <w:bottom w:w="100" w:type="dxa"/>
              <w:end w:w="110" w:type="dxa"/>
            </w:tcMar>
            <w:vAlign w:val="center"/>
          </w:tcPr>
          <w:p>
            <w:r>
              <w:t>定位不直观</w:t>
            </w:r>
          </w:p>
        </w:tc>
        <w:tc>
          <w:tcPr>
            <w:tcW w:type="dxa" w:w="3312"/>
            <w:tcMar>
              <w:top w:w="100" w:type="dxa"/>
              <w:start w:w="110" w:type="dxa"/>
              <w:bottom w:w="100" w:type="dxa"/>
              <w:end w:w="110" w:type="dxa"/>
            </w:tcMar>
            <w:vAlign w:val="center"/>
          </w:tcPr>
          <w:p>
            <w:r>
              <w:t>学生只知道存在风险，不知道是哪一行</w:t>
            </w:r>
          </w:p>
        </w:tc>
        <w:tc>
          <w:tcPr>
            <w:tcW w:type="dxa" w:w="3888"/>
            <w:tcMar>
              <w:top w:w="100" w:type="dxa"/>
              <w:start w:w="110" w:type="dxa"/>
              <w:bottom w:w="100" w:type="dxa"/>
              <w:end w:w="110" w:type="dxa"/>
            </w:tcMar>
            <w:vAlign w:val="center"/>
          </w:tcPr>
          <w:p>
            <w:r>
              <w:t>展示文件名、行号、风险代码和风险类型</w:t>
            </w:r>
          </w:p>
        </w:tc>
      </w:tr>
      <w:tr>
        <w:tc>
          <w:tcPr>
            <w:tcW w:type="dxa" w:w="1728"/>
            <w:tcMar>
              <w:top w:w="100" w:type="dxa"/>
              <w:start w:w="110" w:type="dxa"/>
              <w:bottom w:w="100" w:type="dxa"/>
              <w:end w:w="110" w:type="dxa"/>
            </w:tcMar>
            <w:vAlign w:val="center"/>
          </w:tcPr>
          <w:p>
            <w:r>
              <w:t>建议不易理解</w:t>
            </w:r>
          </w:p>
        </w:tc>
        <w:tc>
          <w:tcPr>
            <w:tcW w:type="dxa" w:w="3312"/>
            <w:tcMar>
              <w:top w:w="100" w:type="dxa"/>
              <w:start w:w="110" w:type="dxa"/>
              <w:bottom w:w="100" w:type="dxa"/>
              <w:end w:w="110" w:type="dxa"/>
            </w:tcMar>
            <w:vAlign w:val="center"/>
          </w:tcPr>
          <w:p>
            <w:r>
              <w:t>只提示不要泄露，没有可学习的替代写法</w:t>
            </w:r>
          </w:p>
        </w:tc>
        <w:tc>
          <w:tcPr>
            <w:tcW w:type="dxa" w:w="3888"/>
            <w:tcMar>
              <w:top w:w="100" w:type="dxa"/>
              <w:start w:w="110" w:type="dxa"/>
              <w:bottom w:w="100" w:type="dxa"/>
              <w:end w:w="110" w:type="dxa"/>
            </w:tcMar>
            <w:vAlign w:val="center"/>
          </w:tcPr>
          <w:p>
            <w:r>
              <w:t>给出中文解释和正确示例代码</w:t>
            </w:r>
          </w:p>
        </w:tc>
      </w:tr>
      <w:tr>
        <w:tc>
          <w:tcPr>
            <w:tcW w:type="dxa" w:w="1728"/>
            <w:tcMar>
              <w:top w:w="100" w:type="dxa"/>
              <w:start w:w="110" w:type="dxa"/>
              <w:bottom w:w="100" w:type="dxa"/>
              <w:end w:w="110" w:type="dxa"/>
            </w:tcMar>
            <w:vAlign w:val="center"/>
          </w:tcPr>
          <w:p>
            <w:r>
              <w:t>整改难留痕</w:t>
            </w:r>
          </w:p>
        </w:tc>
        <w:tc>
          <w:tcPr>
            <w:tcW w:type="dxa" w:w="3312"/>
            <w:tcMar>
              <w:top w:w="100" w:type="dxa"/>
              <w:start w:w="110" w:type="dxa"/>
              <w:bottom w:w="100" w:type="dxa"/>
              <w:end w:w="110" w:type="dxa"/>
            </w:tcMar>
            <w:vAlign w:val="center"/>
          </w:tcPr>
          <w:p>
            <w:r>
              <w:t>课程作业或毕设缺少可归档的安全记录</w:t>
            </w:r>
          </w:p>
        </w:tc>
        <w:tc>
          <w:tcPr>
            <w:tcW w:type="dxa" w:w="3888"/>
            <w:tcMar>
              <w:top w:w="100" w:type="dxa"/>
              <w:start w:w="110" w:type="dxa"/>
              <w:bottom w:w="100" w:type="dxa"/>
              <w:end w:w="110" w:type="dxa"/>
            </w:tcMar>
            <w:vAlign w:val="center"/>
          </w:tcPr>
          <w:p>
            <w:r>
              <w:t>支持人工状态标记和 PDF 审计报告</w:t>
            </w:r>
          </w:p>
        </w:tc>
      </w:tr>
    </w:tbl>
    <w:p/>
    <w:p>
      <w:pPr>
        <w:pStyle w:val="Heading1"/>
      </w:pPr>
      <w:r>
        <w:t>三 产品功能</w:t>
      </w:r>
    </w:p>
    <w:p>
      <w:pPr>
        <w:pStyle w:val="ListBullet"/>
      </w:pPr>
      <w:r>
        <w:t>多入口输入：支持文本粘贴和 ZIP 压缩包上传，覆盖单文件和多文件项目。</w:t>
      </w:r>
    </w:p>
    <w:p>
      <w:pPr>
        <w:pStyle w:val="ListBullet"/>
      </w:pPr>
      <w:r>
        <w:t>多语言识别：首版覆盖 Python、Java、C++、JavaScript，并读取常见配置文件。</w:t>
      </w:r>
    </w:p>
    <w:p>
      <w:pPr>
        <w:pStyle w:val="ListBullet"/>
      </w:pPr>
      <w:r>
        <w:t>分级检测：将结果划分为严重、高、中、低四级，并显示风险评分和置信度。</w:t>
      </w:r>
    </w:p>
    <w:p>
      <w:pPr>
        <w:pStyle w:val="ListBullet"/>
      </w:pPr>
      <w:r>
        <w:t>位置高亮：按文件和行号展示风险代码，便于课堂演示和人工复核。</w:t>
      </w:r>
    </w:p>
    <w:p>
      <w:pPr>
        <w:pStyle w:val="ListBullet"/>
      </w:pPr>
      <w:r>
        <w:t>人工复核：支持待确认、已确认、误报、已修复、忽略本次五种状态。</w:t>
      </w:r>
    </w:p>
    <w:p>
      <w:pPr>
        <w:pStyle w:val="ListBullet"/>
      </w:pPr>
      <w:r>
        <w:t>修复教学：提供文字版修复建议和正确示例代码，可选调用 DeepSeek 生成更具体的解释。</w:t>
      </w:r>
    </w:p>
    <w:p>
      <w:pPr>
        <w:pStyle w:val="ListBullet"/>
      </w:pPr>
      <w:r>
        <w:t>报告归档：一键生成包含风险概览、问题详情和整改记录的 PDF 审计报告。</w:t>
      </w:r>
    </w:p>
    <w:p>
      <w:pPr>
        <w:pStyle w:val="Heading1"/>
      </w:pPr>
      <w:r>
        <w:t>四 技术路线</w:t>
      </w:r>
    </w:p>
    <w:p>
      <w:r>
        <w:t>系统采用 Python Flask 后端和静态网页前端。核心检测在本地完成，DeepSeek API 作为可选的建议增强模块。</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1728"/>
            <w:shd w:fill="123B61"/>
            <w:tcMar>
              <w:top w:w="120" w:type="dxa"/>
              <w:start w:w="110" w:type="dxa"/>
              <w:bottom w:w="120" w:type="dxa"/>
              <w:end w:w="110" w:type="dxa"/>
            </w:tcMar>
          </w:tcPr>
          <w:p>
            <w:r>
              <w:rPr>
                <w:b/>
                <w:color w:val="FFFFFF"/>
              </w:rPr>
              <w:t>模块</w:t>
            </w:r>
          </w:p>
        </w:tc>
        <w:tc>
          <w:tcPr>
            <w:tcW w:type="dxa" w:w="4896"/>
            <w:shd w:fill="123B61"/>
            <w:tcMar>
              <w:top w:w="120" w:type="dxa"/>
              <w:start w:w="110" w:type="dxa"/>
              <w:bottom w:w="120" w:type="dxa"/>
              <w:end w:w="110" w:type="dxa"/>
            </w:tcMar>
          </w:tcPr>
          <w:p>
            <w:r>
              <w:rPr>
                <w:b/>
                <w:color w:val="FFFFFF"/>
              </w:rPr>
              <w:t>实现方式</w:t>
            </w:r>
          </w:p>
        </w:tc>
        <w:tc>
          <w:tcPr>
            <w:tcW w:type="dxa" w:w="2304"/>
            <w:shd w:fill="123B61"/>
            <w:tcMar>
              <w:top w:w="120" w:type="dxa"/>
              <w:start w:w="110" w:type="dxa"/>
              <w:bottom w:w="120" w:type="dxa"/>
              <w:end w:w="110" w:type="dxa"/>
            </w:tcMar>
          </w:tcPr>
          <w:p>
            <w:r>
              <w:rPr>
                <w:b/>
                <w:color w:val="FFFFFF"/>
              </w:rPr>
              <w:t>输出</w:t>
            </w:r>
          </w:p>
        </w:tc>
      </w:tr>
      <w:tr>
        <w:tc>
          <w:tcPr>
            <w:tcW w:type="dxa" w:w="1728"/>
            <w:tcMar>
              <w:top w:w="100" w:type="dxa"/>
              <w:start w:w="110" w:type="dxa"/>
              <w:bottom w:w="100" w:type="dxa"/>
              <w:end w:w="110" w:type="dxa"/>
            </w:tcMar>
            <w:vAlign w:val="center"/>
          </w:tcPr>
          <w:p>
            <w:r>
              <w:t>输入层</w:t>
            </w:r>
          </w:p>
        </w:tc>
        <w:tc>
          <w:tcPr>
            <w:tcW w:type="dxa" w:w="4896"/>
            <w:tcMar>
              <w:top w:w="100" w:type="dxa"/>
              <w:start w:w="110" w:type="dxa"/>
              <w:bottom w:w="100" w:type="dxa"/>
              <w:end w:w="110" w:type="dxa"/>
            </w:tcMar>
            <w:vAlign w:val="center"/>
          </w:tcPr>
          <w:p>
            <w:r>
              <w:t>文本粘贴与 ZIP 安全解压，过滤二进制和常见依赖目录</w:t>
            </w:r>
          </w:p>
        </w:tc>
        <w:tc>
          <w:tcPr>
            <w:tcW w:type="dxa" w:w="2304"/>
            <w:tcMar>
              <w:top w:w="100" w:type="dxa"/>
              <w:start w:w="110" w:type="dxa"/>
              <w:bottom w:w="100" w:type="dxa"/>
              <w:end w:w="110" w:type="dxa"/>
            </w:tcMar>
            <w:vAlign w:val="center"/>
          </w:tcPr>
          <w:p>
            <w:r>
              <w:t>待扫描的代码文件集合</w:t>
            </w:r>
          </w:p>
        </w:tc>
      </w:tr>
      <w:tr>
        <w:tc>
          <w:tcPr>
            <w:tcW w:type="dxa" w:w="1728"/>
            <w:tcMar>
              <w:top w:w="100" w:type="dxa"/>
              <w:start w:w="110" w:type="dxa"/>
              <w:bottom w:w="100" w:type="dxa"/>
              <w:end w:w="110" w:type="dxa"/>
            </w:tcMar>
            <w:vAlign w:val="center"/>
          </w:tcPr>
          <w:p>
            <w:r>
              <w:t>检测层</w:t>
            </w:r>
          </w:p>
        </w:tc>
        <w:tc>
          <w:tcPr>
            <w:tcW w:type="dxa" w:w="4896"/>
            <w:tcMar>
              <w:top w:w="100" w:type="dxa"/>
              <w:start w:w="110" w:type="dxa"/>
              <w:bottom w:w="100" w:type="dxa"/>
              <w:end w:w="110" w:type="dxa"/>
            </w:tcMar>
            <w:vAlign w:val="center"/>
          </w:tcPr>
          <w:p>
            <w:r>
              <w:t>规则信号、变量上下文、文件类型、占位符判断和高熵特征组合</w:t>
            </w:r>
          </w:p>
        </w:tc>
        <w:tc>
          <w:tcPr>
            <w:tcW w:type="dxa" w:w="2304"/>
            <w:tcMar>
              <w:top w:w="100" w:type="dxa"/>
              <w:start w:w="110" w:type="dxa"/>
              <w:bottom w:w="100" w:type="dxa"/>
              <w:end w:w="110" w:type="dxa"/>
            </w:tcMar>
            <w:vAlign w:val="center"/>
          </w:tcPr>
          <w:p>
            <w:r>
              <w:t>风险线索、行号、证据</w:t>
            </w:r>
          </w:p>
        </w:tc>
      </w:tr>
      <w:tr>
        <w:tc>
          <w:tcPr>
            <w:tcW w:type="dxa" w:w="1728"/>
            <w:tcMar>
              <w:top w:w="100" w:type="dxa"/>
              <w:start w:w="110" w:type="dxa"/>
              <w:bottom w:w="100" w:type="dxa"/>
              <w:end w:w="110" w:type="dxa"/>
            </w:tcMar>
            <w:vAlign w:val="center"/>
          </w:tcPr>
          <w:p>
            <w:r>
              <w:t>评分层</w:t>
            </w:r>
          </w:p>
        </w:tc>
        <w:tc>
          <w:tcPr>
            <w:tcW w:type="dxa" w:w="4896"/>
            <w:tcMar>
              <w:top w:w="100" w:type="dxa"/>
              <w:start w:w="110" w:type="dxa"/>
              <w:bottom w:w="100" w:type="dxa"/>
              <w:end w:w="110" w:type="dxa"/>
            </w:tcMar>
            <w:vAlign w:val="center"/>
          </w:tcPr>
          <w:p>
            <w:r>
              <w:t>按风险类别设置基础分，并叠加上下文权重和占位符扣分</w:t>
            </w:r>
          </w:p>
        </w:tc>
        <w:tc>
          <w:tcPr>
            <w:tcW w:type="dxa" w:w="2304"/>
            <w:tcMar>
              <w:top w:w="100" w:type="dxa"/>
              <w:start w:w="110" w:type="dxa"/>
              <w:bottom w:w="100" w:type="dxa"/>
              <w:end w:w="110" w:type="dxa"/>
            </w:tcMar>
            <w:vAlign w:val="center"/>
          </w:tcPr>
          <w:p>
            <w:r>
              <w:t>严重、高、中、低风险</w:t>
            </w:r>
          </w:p>
        </w:tc>
      </w:tr>
      <w:tr>
        <w:tc>
          <w:tcPr>
            <w:tcW w:type="dxa" w:w="1728"/>
            <w:tcMar>
              <w:top w:w="100" w:type="dxa"/>
              <w:start w:w="110" w:type="dxa"/>
              <w:bottom w:w="100" w:type="dxa"/>
              <w:end w:w="110" w:type="dxa"/>
            </w:tcMar>
            <w:vAlign w:val="center"/>
          </w:tcPr>
          <w:p>
            <w:r>
              <w:t>解释层</w:t>
            </w:r>
          </w:p>
        </w:tc>
        <w:tc>
          <w:tcPr>
            <w:tcW w:type="dxa" w:w="4896"/>
            <w:tcMar>
              <w:top w:w="100" w:type="dxa"/>
              <w:start w:w="110" w:type="dxa"/>
              <w:bottom w:w="100" w:type="dxa"/>
              <w:end w:w="110" w:type="dxa"/>
            </w:tcMar>
            <w:vAlign w:val="center"/>
          </w:tcPr>
          <w:p>
            <w:r>
              <w:t>内置中文建议，或把临时脱敏上下文发送到 DeepSeek</w:t>
            </w:r>
          </w:p>
        </w:tc>
        <w:tc>
          <w:tcPr>
            <w:tcW w:type="dxa" w:w="2304"/>
            <w:tcMar>
              <w:top w:w="100" w:type="dxa"/>
              <w:start w:w="110" w:type="dxa"/>
              <w:bottom w:w="100" w:type="dxa"/>
              <w:end w:w="110" w:type="dxa"/>
            </w:tcMar>
            <w:vAlign w:val="center"/>
          </w:tcPr>
          <w:p>
            <w:r>
              <w:t>修复建议和正确示例</w:t>
            </w:r>
          </w:p>
        </w:tc>
      </w:tr>
      <w:tr>
        <w:tc>
          <w:tcPr>
            <w:tcW w:type="dxa" w:w="1728"/>
            <w:tcMar>
              <w:top w:w="100" w:type="dxa"/>
              <w:start w:w="110" w:type="dxa"/>
              <w:bottom w:w="100" w:type="dxa"/>
              <w:end w:w="110" w:type="dxa"/>
            </w:tcMar>
            <w:vAlign w:val="center"/>
          </w:tcPr>
          <w:p>
            <w:r>
              <w:t>展示层</w:t>
            </w:r>
          </w:p>
        </w:tc>
        <w:tc>
          <w:tcPr>
            <w:tcW w:type="dxa" w:w="4896"/>
            <w:tcMar>
              <w:top w:w="100" w:type="dxa"/>
              <w:start w:w="110" w:type="dxa"/>
              <w:bottom w:w="100" w:type="dxa"/>
              <w:end w:w="110" w:type="dxa"/>
            </w:tcMar>
            <w:vAlign w:val="center"/>
          </w:tcPr>
          <w:p>
            <w:r>
              <w:t>静态 HTML、CSS、JavaScript 页面，支持风险选择和状态更新</w:t>
            </w:r>
          </w:p>
        </w:tc>
        <w:tc>
          <w:tcPr>
            <w:tcW w:type="dxa" w:w="2304"/>
            <w:tcMar>
              <w:top w:w="100" w:type="dxa"/>
              <w:start w:w="110" w:type="dxa"/>
              <w:bottom w:w="100" w:type="dxa"/>
              <w:end w:w="110" w:type="dxa"/>
            </w:tcMar>
            <w:vAlign w:val="center"/>
          </w:tcPr>
          <w:p>
            <w:r>
              <w:t>代码高亮与整改进度</w:t>
            </w:r>
          </w:p>
        </w:tc>
      </w:tr>
      <w:tr>
        <w:tc>
          <w:tcPr>
            <w:tcW w:type="dxa" w:w="1728"/>
            <w:tcMar>
              <w:top w:w="100" w:type="dxa"/>
              <w:start w:w="110" w:type="dxa"/>
              <w:bottom w:w="100" w:type="dxa"/>
              <w:end w:w="110" w:type="dxa"/>
            </w:tcMar>
            <w:vAlign w:val="center"/>
          </w:tcPr>
          <w:p>
            <w:r>
              <w:t>报告层</w:t>
            </w:r>
          </w:p>
        </w:tc>
        <w:tc>
          <w:tcPr>
            <w:tcW w:type="dxa" w:w="4896"/>
            <w:tcMar>
              <w:top w:w="100" w:type="dxa"/>
              <w:start w:w="110" w:type="dxa"/>
              <w:bottom w:w="100" w:type="dxa"/>
              <w:end w:w="110" w:type="dxa"/>
            </w:tcMar>
            <w:vAlign w:val="center"/>
          </w:tcPr>
          <w:p>
            <w:r>
              <w:t>ReportLab 生成中文 PDF，自动汇总扫描统计和整改记录</w:t>
            </w:r>
          </w:p>
        </w:tc>
        <w:tc>
          <w:tcPr>
            <w:tcW w:type="dxa" w:w="2304"/>
            <w:tcMar>
              <w:top w:w="100" w:type="dxa"/>
              <w:start w:w="110" w:type="dxa"/>
              <w:bottom w:w="100" w:type="dxa"/>
              <w:end w:w="110" w:type="dxa"/>
            </w:tcMar>
            <w:vAlign w:val="center"/>
          </w:tcPr>
          <w:p>
            <w:r>
              <w:t>审计报告文件</w:t>
            </w:r>
          </w:p>
        </w:tc>
      </w:tr>
    </w:tbl>
    <w:p/>
    <w:p>
      <w:pPr>
        <w:pStyle w:val="Heading1"/>
      </w:pPr>
      <w:r>
        <w:t>五 创新点</w:t>
      </w:r>
    </w:p>
    <w:p>
      <w:r>
        <w:t>1. 检测结果与教学解释合并。项目不仅提示风险，还通过上下文证据、风险评分、修复建议和示例代码解释为什么危险以及怎样改。</w:t>
      </w:r>
    </w:p>
    <w:p>
      <w:r>
        <w:t>2. 面向学生的人工复核闭环。系统将误报、已修复和忽略本次纳入界面状态，使扫描结果能够转化为可追踪的学习记录。</w:t>
      </w:r>
    </w:p>
    <w:p>
      <w:r>
        <w:t>3. 规则检测与大模型建议分层。核心检测不依赖外部模型，接口不可用时仍能完成扫描；大模型只增强解释，不拥有修改源代码的权限。</w:t>
      </w:r>
    </w:p>
    <w:p>
      <w:r>
        <w:t>4. 将敏感信息审计转化为可归档成果。PDF 报告适用于课程作业、毕业设计和安全教育活动，方便教师批改和学生自查。</w:t>
      </w:r>
    </w:p>
    <w:p>
      <w:r>
        <w:t>5. 原创评分与规则组织。检测器以项目自定义的风险类别、上下文权重和占位符识别为基础，不照搬外部项目的规则表和核心检测流程。</w:t>
      </w:r>
    </w:p>
    <w:p>
      <w:pPr>
        <w:pStyle w:val="Heading1"/>
      </w:pPr>
      <w:r>
        <w:t>六 市场与应用价值</w:t>
      </w:r>
    </w:p>
    <w:p>
      <w:r>
        <w:t>项目首先服务高校课程、实验室和毕业设计过程，也可作为网络安全社团、编程教学平台和校园创新实践活动的辅助工具。对于教师，平台降低了批量检查作业中常见凭据问题的成本；对于学生，平台把抽象的密钥安全要求变成可观察、可解释、可复核的代码问题。</w:t>
      </w:r>
    </w:p>
    <w:p>
      <w:r>
        <w:t>后续可以扩展自定义检测规则、教学班级统计、代码仓库流水线接入、密钥轮换提醒以及更多配置格式支持。项目暂不承诺验证密钥是否真实有效，也不替代企业级密钥管理系统。</w:t>
      </w:r>
    </w:p>
    <w:p>
      <w:pPr>
        <w:pStyle w:val="Heading1"/>
      </w:pPr>
      <w:r>
        <w:t>七 实施计划</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1728"/>
            <w:shd w:fill="123B61"/>
            <w:tcMar>
              <w:top w:w="120" w:type="dxa"/>
              <w:start w:w="110" w:type="dxa"/>
              <w:bottom w:w="120" w:type="dxa"/>
              <w:end w:w="110" w:type="dxa"/>
            </w:tcMar>
          </w:tcPr>
          <w:p>
            <w:r>
              <w:rPr>
                <w:b/>
                <w:color w:val="FFFFFF"/>
              </w:rPr>
              <w:t>阶段</w:t>
            </w:r>
          </w:p>
        </w:tc>
        <w:tc>
          <w:tcPr>
            <w:tcW w:type="dxa" w:w="5184"/>
            <w:shd w:fill="123B61"/>
            <w:tcMar>
              <w:top w:w="120" w:type="dxa"/>
              <w:start w:w="110" w:type="dxa"/>
              <w:bottom w:w="120" w:type="dxa"/>
              <w:end w:w="110" w:type="dxa"/>
            </w:tcMar>
          </w:tcPr>
          <w:p>
            <w:r>
              <w:rPr>
                <w:b/>
                <w:color w:val="FFFFFF"/>
              </w:rPr>
              <w:t>主要工作</w:t>
            </w:r>
          </w:p>
        </w:tc>
        <w:tc>
          <w:tcPr>
            <w:tcW w:type="dxa" w:w="2016"/>
            <w:shd w:fill="123B61"/>
            <w:tcMar>
              <w:top w:w="120" w:type="dxa"/>
              <w:start w:w="110" w:type="dxa"/>
              <w:bottom w:w="120" w:type="dxa"/>
              <w:end w:w="110" w:type="dxa"/>
            </w:tcMar>
          </w:tcPr>
          <w:p>
            <w:r>
              <w:rPr>
                <w:b/>
                <w:color w:val="FFFFFF"/>
              </w:rPr>
              <w:t>阶段成果</w:t>
            </w:r>
          </w:p>
        </w:tc>
      </w:tr>
      <w:tr>
        <w:tc>
          <w:tcPr>
            <w:tcW w:type="dxa" w:w="1728"/>
            <w:tcMar>
              <w:top w:w="100" w:type="dxa"/>
              <w:start w:w="110" w:type="dxa"/>
              <w:bottom w:w="100" w:type="dxa"/>
              <w:end w:w="110" w:type="dxa"/>
            </w:tcMar>
            <w:vAlign w:val="center"/>
          </w:tcPr>
          <w:p>
            <w:r>
              <w:t>第一阶段</w:t>
            </w:r>
          </w:p>
        </w:tc>
        <w:tc>
          <w:tcPr>
            <w:tcW w:type="dxa" w:w="5184"/>
            <w:tcMar>
              <w:top w:w="100" w:type="dxa"/>
              <w:start w:w="110" w:type="dxa"/>
              <w:bottom w:w="100" w:type="dxa"/>
              <w:end w:w="110" w:type="dxa"/>
            </w:tcMar>
            <w:vAlign w:val="center"/>
          </w:tcPr>
          <w:p>
            <w:r>
              <w:t>完成输入、检测、分级和结果展示</w:t>
            </w:r>
          </w:p>
        </w:tc>
        <w:tc>
          <w:tcPr>
            <w:tcW w:type="dxa" w:w="2016"/>
            <w:tcMar>
              <w:top w:w="100" w:type="dxa"/>
              <w:start w:w="110" w:type="dxa"/>
              <w:bottom w:w="100" w:type="dxa"/>
              <w:end w:w="110" w:type="dxa"/>
            </w:tcMar>
            <w:vAlign w:val="center"/>
          </w:tcPr>
          <w:p>
            <w:r>
              <w:t>可运行的本地网页 MVP</w:t>
            </w:r>
          </w:p>
        </w:tc>
      </w:tr>
      <w:tr>
        <w:tc>
          <w:tcPr>
            <w:tcW w:type="dxa" w:w="1728"/>
            <w:tcMar>
              <w:top w:w="100" w:type="dxa"/>
              <w:start w:w="110" w:type="dxa"/>
              <w:bottom w:w="100" w:type="dxa"/>
              <w:end w:w="110" w:type="dxa"/>
            </w:tcMar>
            <w:vAlign w:val="center"/>
          </w:tcPr>
          <w:p>
            <w:r>
              <w:t>第二阶段</w:t>
            </w:r>
          </w:p>
        </w:tc>
        <w:tc>
          <w:tcPr>
            <w:tcW w:type="dxa" w:w="5184"/>
            <w:tcMar>
              <w:top w:w="100" w:type="dxa"/>
              <w:start w:w="110" w:type="dxa"/>
              <w:bottom w:w="100" w:type="dxa"/>
              <w:end w:w="110" w:type="dxa"/>
            </w:tcMar>
            <w:vAlign w:val="center"/>
          </w:tcPr>
          <w:p>
            <w:r>
              <w:t>完成人工复核、DeepSeek 建议和 PDF 报告</w:t>
            </w:r>
          </w:p>
        </w:tc>
        <w:tc>
          <w:tcPr>
            <w:tcW w:type="dxa" w:w="2016"/>
            <w:tcMar>
              <w:top w:w="100" w:type="dxa"/>
              <w:start w:w="110" w:type="dxa"/>
              <w:bottom w:w="100" w:type="dxa"/>
              <w:end w:w="110" w:type="dxa"/>
            </w:tcMar>
            <w:vAlign w:val="center"/>
          </w:tcPr>
          <w:p>
            <w:r>
              <w:t>完整演示流程</w:t>
            </w:r>
          </w:p>
        </w:tc>
      </w:tr>
      <w:tr>
        <w:tc>
          <w:tcPr>
            <w:tcW w:type="dxa" w:w="1728"/>
            <w:tcMar>
              <w:top w:w="100" w:type="dxa"/>
              <w:start w:w="110" w:type="dxa"/>
              <w:bottom w:w="100" w:type="dxa"/>
              <w:end w:w="110" w:type="dxa"/>
            </w:tcMar>
            <w:vAlign w:val="center"/>
          </w:tcPr>
          <w:p>
            <w:r>
              <w:t>第三阶段</w:t>
            </w:r>
          </w:p>
        </w:tc>
        <w:tc>
          <w:tcPr>
            <w:tcW w:type="dxa" w:w="5184"/>
            <w:tcMar>
              <w:top w:w="100" w:type="dxa"/>
              <w:start w:w="110" w:type="dxa"/>
              <w:bottom w:w="100" w:type="dxa"/>
              <w:end w:w="110" w:type="dxa"/>
            </w:tcMar>
            <w:vAlign w:val="center"/>
          </w:tcPr>
          <w:p>
            <w:r>
              <w:t>补充测试、演示数据、用户手册和比赛材料</w:t>
            </w:r>
          </w:p>
        </w:tc>
        <w:tc>
          <w:tcPr>
            <w:tcW w:type="dxa" w:w="2016"/>
            <w:tcMar>
              <w:top w:w="100" w:type="dxa"/>
              <w:start w:w="110" w:type="dxa"/>
              <w:bottom w:w="100" w:type="dxa"/>
              <w:end w:w="110" w:type="dxa"/>
            </w:tcMar>
            <w:vAlign w:val="center"/>
          </w:tcPr>
          <w:p>
            <w:r>
              <w:t>可提交项目包</w:t>
            </w:r>
          </w:p>
        </w:tc>
      </w:tr>
      <w:tr>
        <w:tc>
          <w:tcPr>
            <w:tcW w:type="dxa" w:w="1728"/>
            <w:tcMar>
              <w:top w:w="100" w:type="dxa"/>
              <w:start w:w="110" w:type="dxa"/>
              <w:bottom w:w="100" w:type="dxa"/>
              <w:end w:w="110" w:type="dxa"/>
            </w:tcMar>
            <w:vAlign w:val="center"/>
          </w:tcPr>
          <w:p>
            <w:r>
              <w:t>后续迭代</w:t>
            </w:r>
          </w:p>
        </w:tc>
        <w:tc>
          <w:tcPr>
            <w:tcW w:type="dxa" w:w="5184"/>
            <w:tcMar>
              <w:top w:w="100" w:type="dxa"/>
              <w:start w:w="110" w:type="dxa"/>
              <w:bottom w:w="100" w:type="dxa"/>
              <w:end w:w="110" w:type="dxa"/>
            </w:tcMar>
            <w:vAlign w:val="center"/>
          </w:tcPr>
          <w:p>
            <w:r>
              <w:t>扩展规则、语言和课堂管理能力</w:t>
            </w:r>
          </w:p>
        </w:tc>
        <w:tc>
          <w:tcPr>
            <w:tcW w:type="dxa" w:w="2016"/>
            <w:tcMar>
              <w:top w:w="100" w:type="dxa"/>
              <w:start w:w="110" w:type="dxa"/>
              <w:bottom w:w="100" w:type="dxa"/>
              <w:end w:w="110" w:type="dxa"/>
            </w:tcMar>
            <w:vAlign w:val="center"/>
          </w:tcPr>
          <w:p>
            <w:r>
              <w:t>面向教学场景的版本升级</w:t>
            </w:r>
          </w:p>
        </w:tc>
      </w:tr>
    </w:tbl>
    <w:p/>
    <w:p>
      <w:pPr>
        <w:pStyle w:val="Heading1"/>
      </w:pPr>
      <w:r>
        <w:t>八 风险分析</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2016"/>
            <w:shd w:fill="123B61"/>
            <w:tcMar>
              <w:top w:w="120" w:type="dxa"/>
              <w:start w:w="110" w:type="dxa"/>
              <w:bottom w:w="120" w:type="dxa"/>
              <w:end w:w="110" w:type="dxa"/>
            </w:tcMar>
          </w:tcPr>
          <w:p>
            <w:r>
              <w:rPr>
                <w:b/>
                <w:color w:val="FFFFFF"/>
              </w:rPr>
              <w:t>风险</w:t>
            </w:r>
          </w:p>
        </w:tc>
        <w:tc>
          <w:tcPr>
            <w:tcW w:type="dxa" w:w="3024"/>
            <w:shd w:fill="123B61"/>
            <w:tcMar>
              <w:top w:w="120" w:type="dxa"/>
              <w:start w:w="110" w:type="dxa"/>
              <w:bottom w:w="120" w:type="dxa"/>
              <w:end w:w="110" w:type="dxa"/>
            </w:tcMar>
          </w:tcPr>
          <w:p>
            <w:r>
              <w:rPr>
                <w:b/>
                <w:color w:val="FFFFFF"/>
              </w:rPr>
              <w:t>影响</w:t>
            </w:r>
          </w:p>
        </w:tc>
        <w:tc>
          <w:tcPr>
            <w:tcW w:type="dxa" w:w="3888"/>
            <w:shd w:fill="123B61"/>
            <w:tcMar>
              <w:top w:w="120" w:type="dxa"/>
              <w:start w:w="110" w:type="dxa"/>
              <w:bottom w:w="120" w:type="dxa"/>
              <w:end w:w="110" w:type="dxa"/>
            </w:tcMar>
          </w:tcPr>
          <w:p>
            <w:r>
              <w:rPr>
                <w:b/>
                <w:color w:val="FFFFFF"/>
              </w:rPr>
              <w:t>应对方式</w:t>
            </w:r>
          </w:p>
        </w:tc>
      </w:tr>
      <w:tr>
        <w:tc>
          <w:tcPr>
            <w:tcW w:type="dxa" w:w="2016"/>
            <w:tcMar>
              <w:top w:w="100" w:type="dxa"/>
              <w:start w:w="110" w:type="dxa"/>
              <w:bottom w:w="100" w:type="dxa"/>
              <w:end w:w="110" w:type="dxa"/>
            </w:tcMar>
            <w:vAlign w:val="center"/>
          </w:tcPr>
          <w:p>
            <w:r>
              <w:t>误报或漏报</w:t>
            </w:r>
          </w:p>
        </w:tc>
        <w:tc>
          <w:tcPr>
            <w:tcW w:type="dxa" w:w="3024"/>
            <w:tcMar>
              <w:top w:w="100" w:type="dxa"/>
              <w:start w:w="110" w:type="dxa"/>
              <w:bottom w:w="100" w:type="dxa"/>
              <w:end w:w="110" w:type="dxa"/>
            </w:tcMar>
            <w:vAlign w:val="center"/>
          </w:tcPr>
          <w:p>
            <w:r>
              <w:t>影响学生判断</w:t>
            </w:r>
          </w:p>
        </w:tc>
        <w:tc>
          <w:tcPr>
            <w:tcW w:type="dxa" w:w="3888"/>
            <w:tcMar>
              <w:top w:w="100" w:type="dxa"/>
              <w:start w:w="110" w:type="dxa"/>
              <w:bottom w:w="100" w:type="dxa"/>
              <w:end w:w="110" w:type="dxa"/>
            </w:tcMar>
            <w:vAlign w:val="center"/>
          </w:tcPr>
          <w:p>
            <w:r>
              <w:t>保留置信度和人工状态，不把结果表述为绝对结论</w:t>
            </w:r>
          </w:p>
        </w:tc>
      </w:tr>
      <w:tr>
        <w:tc>
          <w:tcPr>
            <w:tcW w:type="dxa" w:w="2016"/>
            <w:tcMar>
              <w:top w:w="100" w:type="dxa"/>
              <w:start w:w="110" w:type="dxa"/>
              <w:bottom w:w="100" w:type="dxa"/>
              <w:end w:w="110" w:type="dxa"/>
            </w:tcMar>
            <w:vAlign w:val="center"/>
          </w:tcPr>
          <w:p>
            <w:r>
              <w:t>真实密钥外传</w:t>
            </w:r>
          </w:p>
        </w:tc>
        <w:tc>
          <w:tcPr>
            <w:tcW w:type="dxa" w:w="3024"/>
            <w:tcMar>
              <w:top w:w="100" w:type="dxa"/>
              <w:start w:w="110" w:type="dxa"/>
              <w:bottom w:w="100" w:type="dxa"/>
              <w:end w:w="110" w:type="dxa"/>
            </w:tcMar>
            <w:vAlign w:val="center"/>
          </w:tcPr>
          <w:p>
            <w:r>
              <w:t>造成二次泄露</w:t>
            </w:r>
          </w:p>
        </w:tc>
        <w:tc>
          <w:tcPr>
            <w:tcW w:type="dxa" w:w="3888"/>
            <w:tcMar>
              <w:top w:w="100" w:type="dxa"/>
              <w:start w:w="110" w:type="dxa"/>
              <w:bottom w:w="100" w:type="dxa"/>
              <w:end w:w="110" w:type="dxa"/>
            </w:tcMar>
            <w:vAlign w:val="center"/>
          </w:tcPr>
          <w:p>
            <w:r>
              <w:t>发送给 DeepSeek 前仅使用临时脱敏上下文，原始代码不出本地</w:t>
            </w:r>
          </w:p>
        </w:tc>
      </w:tr>
      <w:tr>
        <w:tc>
          <w:tcPr>
            <w:tcW w:type="dxa" w:w="2016"/>
            <w:tcMar>
              <w:top w:w="100" w:type="dxa"/>
              <w:start w:w="110" w:type="dxa"/>
              <w:bottom w:w="100" w:type="dxa"/>
              <w:end w:w="110" w:type="dxa"/>
            </w:tcMar>
            <w:vAlign w:val="center"/>
          </w:tcPr>
          <w:p>
            <w:r>
              <w:t>网络或接口不可用</w:t>
            </w:r>
          </w:p>
        </w:tc>
        <w:tc>
          <w:tcPr>
            <w:tcW w:type="dxa" w:w="3024"/>
            <w:tcMar>
              <w:top w:w="100" w:type="dxa"/>
              <w:start w:w="110" w:type="dxa"/>
              <w:bottom w:w="100" w:type="dxa"/>
              <w:end w:w="110" w:type="dxa"/>
            </w:tcMar>
            <w:vAlign w:val="center"/>
          </w:tcPr>
          <w:p>
            <w:r>
              <w:t>建议增强功能暂时不可用</w:t>
            </w:r>
          </w:p>
        </w:tc>
        <w:tc>
          <w:tcPr>
            <w:tcW w:type="dxa" w:w="3888"/>
            <w:tcMar>
              <w:top w:w="100" w:type="dxa"/>
              <w:start w:w="110" w:type="dxa"/>
              <w:bottom w:w="100" w:type="dxa"/>
              <w:end w:w="110" w:type="dxa"/>
            </w:tcMar>
            <w:vAlign w:val="center"/>
          </w:tcPr>
          <w:p>
            <w:r>
              <w:t>本地检测和内置建议独立工作</w:t>
            </w:r>
          </w:p>
        </w:tc>
      </w:tr>
      <w:tr>
        <w:tc>
          <w:tcPr>
            <w:tcW w:type="dxa" w:w="2016"/>
            <w:tcMar>
              <w:top w:w="100" w:type="dxa"/>
              <w:start w:w="110" w:type="dxa"/>
              <w:bottom w:w="100" w:type="dxa"/>
              <w:end w:w="110" w:type="dxa"/>
            </w:tcMar>
            <w:vAlign w:val="center"/>
          </w:tcPr>
          <w:p>
            <w:r>
              <w:t>规则覆盖有限</w:t>
            </w:r>
          </w:p>
        </w:tc>
        <w:tc>
          <w:tcPr>
            <w:tcW w:type="dxa" w:w="3024"/>
            <w:tcMar>
              <w:top w:w="100" w:type="dxa"/>
              <w:start w:w="110" w:type="dxa"/>
              <w:bottom w:w="100" w:type="dxa"/>
              <w:end w:w="110" w:type="dxa"/>
            </w:tcMar>
            <w:vAlign w:val="center"/>
          </w:tcPr>
          <w:p>
            <w:r>
              <w:t>无法识别所有凭据类型</w:t>
            </w:r>
          </w:p>
        </w:tc>
        <w:tc>
          <w:tcPr>
            <w:tcW w:type="dxa" w:w="3888"/>
            <w:tcMar>
              <w:top w:w="100" w:type="dxa"/>
              <w:start w:w="110" w:type="dxa"/>
              <w:bottom w:w="100" w:type="dxa"/>
              <w:end w:w="110" w:type="dxa"/>
            </w:tcMar>
            <w:vAlign w:val="center"/>
          </w:tcPr>
          <w:p>
            <w:r>
              <w:t>支持后续添加团队自定义规则和样例测试</w:t>
            </w:r>
          </w:p>
        </w:tc>
      </w:tr>
      <w:tr>
        <w:tc>
          <w:tcPr>
            <w:tcW w:type="dxa" w:w="2016"/>
            <w:tcMar>
              <w:top w:w="100" w:type="dxa"/>
              <w:start w:w="110" w:type="dxa"/>
              <w:bottom w:w="100" w:type="dxa"/>
              <w:end w:w="110" w:type="dxa"/>
            </w:tcMar>
            <w:vAlign w:val="center"/>
          </w:tcPr>
          <w:p>
            <w:r>
              <w:t>材料误含个人信息</w:t>
            </w:r>
          </w:p>
        </w:tc>
        <w:tc>
          <w:tcPr>
            <w:tcW w:type="dxa" w:w="3024"/>
            <w:tcMar>
              <w:top w:w="100" w:type="dxa"/>
              <w:start w:w="110" w:type="dxa"/>
              <w:bottom w:w="100" w:type="dxa"/>
              <w:end w:w="110" w:type="dxa"/>
            </w:tcMar>
            <w:vAlign w:val="center"/>
          </w:tcPr>
          <w:p>
            <w:r>
              <w:t>不符合盲审脱敏要求</w:t>
            </w:r>
          </w:p>
        </w:tc>
        <w:tc>
          <w:tcPr>
            <w:tcW w:type="dxa" w:w="3888"/>
            <w:tcMar>
              <w:top w:w="100" w:type="dxa"/>
              <w:start w:w="110" w:type="dxa"/>
              <w:bottom w:w="100" w:type="dxa"/>
              <w:end w:w="110" w:type="dxa"/>
            </w:tcMar>
            <w:vAlign w:val="center"/>
          </w:tcPr>
          <w:p>
            <w:r>
              <w:t>申报书、PPT 和展示材料使用占位符并进行提交前检查</w:t>
            </w:r>
          </w:p>
        </w:tc>
      </w:tr>
    </w:tbl>
    <w:p/>
    <w:p>
      <w:pPr>
        <w:pStyle w:val="Heading1"/>
      </w:pPr>
      <w:r>
        <w:t>原创性与知识产权说明</w:t>
      </w:r>
    </w:p>
    <w:p>
      <w:r>
        <w:t>本项目的页面、风险评分方式、规则组织、修复建议模板、演示数据和材料文本均为本团队围绕高校代码安全教育场景重新设计。项目不直接复制他人论文、开源项目 README、源代码、规则清单或核心检测逻辑。使用第三方依赖时，仅用于通用的 Web 服务、PDF 生成和测试，不替代本项目的检测实现。</w:t>
      </w:r>
    </w:p>
    <w:p>
      <w:pPr>
        <w:pStyle w:val="Heading1"/>
      </w:pPr>
      <w:r>
        <w:t>演示流程</w:t>
      </w:r>
    </w:p>
    <w:p>
      <w:pPr>
        <w:pStyle w:val="ListBullet"/>
      </w:pPr>
      <w:r>
        <w:t>粘贴包含 API Key、数据库密码和个人信息的演示代码。</w:t>
      </w:r>
    </w:p>
    <w:p>
      <w:pPr>
        <w:pStyle w:val="ListBullet"/>
      </w:pPr>
      <w:r>
        <w:t>查看风险总览和四级分级结果，点击问题跳转到对应文件和代码行。</w:t>
      </w:r>
    </w:p>
    <w:p>
      <w:pPr>
        <w:pStyle w:val="ListBullet"/>
      </w:pPr>
      <w:r>
        <w:t>将问题标记为已确认或误报，展示整改闭环。</w:t>
      </w:r>
    </w:p>
    <w:p>
      <w:pPr>
        <w:pStyle w:val="ListBullet"/>
      </w:pPr>
      <w:r>
        <w:t>打开修复建议，说明环境变量和受控配置的正确写法。</w:t>
      </w:r>
    </w:p>
    <w:p>
      <w:pPr>
        <w:pStyle w:val="ListBullet"/>
      </w:pPr>
      <w:r>
        <w:t>导出 PDF 审计报告，说明可用于课程作业和毕设存档。</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899"/>
        <w:sz w:val="16"/>
      </w:rPr>
      <w:t>代码哨兵 CodeGuard  |  项目材料</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icrosoft YaHei" w:hAnsi="Microsoft YaHei" w:eastAsia="Microsoft YaHei"/>
      <w:color w:val="23313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Microsoft YaHei" w:hAnsi="Microsoft YaHei" w:eastAsia="Microsoft YaHei"/>
      <w:b/>
      <w:bCs/>
      <w:color w:val="123B61"/>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Microsoft YaHei" w:hAnsi="Microsoft YaHei" w:eastAsia="Microsoft YaHei"/>
      <w:b/>
      <w:bCs/>
      <w:color w:val="2467A6"/>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Microsoft YaHei" w:hAnsi="Microsoft YaHei" w:eastAsia="Microsoft YaHei"/>
      <w:b/>
      <w:bCs/>
      <w:color w:val="2467A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Microsoft YaHei" w:hAnsi="Microsoft YaHei" w:eastAsia="Microsoft YaHei"/>
      <w:b/>
      <w:color w:val="123B61"/>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