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Audit Complete Pack · User Guide | LabKitPro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Neue",-apple-system,sans-serif;background:var(--bg);color:var(--ink);line-height:1.75;font-size:15px} .wrap{max-width:1080px;margin:0 auto;padding:0 24px 80px} header.hero{background:linear-gradient(135deg,#0f2f4a 0%,#16456b 60%,#1b6ea8 100%);color:#fff;padding:48px 24px 36px;margin-bottom:32px} .hero-inner{max-width:1080px;margin:0 auto} .kicker{font-size:13px;letter-spacing:2px;color:#8fd8cb;text-transform:uppercase;margin-bottom:10px} h1{font-size:28px;font-weight:800;line-height:1.35;margin-bottom:10px}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h2{font-size:21px;font-weight:800;color:var(--brand);margin:40px 0 8px;padding-top:8px} h2 .no{color:var(--accent);margin-right:8px} h3{font-size:16px;font-weight:700;color:var(--ink2);margin:24px 0 8px} .lead{color:var(--muted);font-size:14px;margin-bottom:16px} table{width:100%;border-collapse:collapse;margin:10px 0 6px;font-size:13.5px;table-layout:fixed} th{background:#eef3f7;color:var(--ink2);font-weight:700;text-align:left;padding:8px 10px;border:1px solid var(--line)} td{padding:8px 10px;border:1px solid var(--line);vertical-align:top} tbody tr:nth-child(even){background:#fafcfd} .note{background:#fff8ec;border:1px solid #f0d9b8;border-radius:10px;padding:12px 16px;font-size:13px;color:#6b5320;margin:14px 0} .note b{color:#a35b1a} .tip{background:#e7f4f1;border:1px solid #bfe3da;border-radius:10px;padding:12px 16px;font-size:13px;color:#1d5a50;margin:14px 0} .flow{display:flex;flex-wrap:wrap;gap:10px;margin:14px 0} .step{flex:1 1 140px;background:#f0f7fb;border:1px solid #cfe0ec;border-radius:10px;padding:11px 13px;font-size:12.5px} .step b{display:block;color:var(--accent2);font-size:12.5px;margin-bottom:3px} .foot{margin-top:48px;padding-top:18px;border-top:1px solid var(--line);color:var(--muted);font-size:12.5px;text-align:center} @media(max-width:760px){h1{font-size:22px}table{font-size:12.5px}th,td{padding:6px}.wrap{padding:0 14px 60px}} LabKitPro · Academy Template Pack Internal Audit Complete Pack</w:t>
        <w:br/>
        <w:t>User Guide &amp; File Index</w:t>
      </w:r>
    </w:p>
    <w:p>
      <w:pPr>
        <w:pStyle w:val="Heading1"/>
      </w:pPr>
    </w:p>
    <w:p>
      <w:r>
        <w:t>A complete, ready-to-use set of internal audit documents prepared in accordance with ISO/IEC 17025:2017, Clause 8.8 — from annual planning and audit preparation, through on-site execution and nonconformity management, to corrective-action closure and report archiving. This guide explains the role of each file, the order in which to use them, and the essentials for a successful rollout. Basis: ISO/IEC 17025:2017 §8.8 English Version v1.0 11 Files Full-Element Checklist §4.1–§8.9 1What This Pack Solves</w:t>
      </w:r>
    </w:p>
    <w:p>
      <w:pPr>
        <w:pStyle w:val="Heading2"/>
      </w:pPr>
    </w:p>
    <w:p>
      <w:r>
        <w:t>Internal audit is a mandatory requirement of ISO/IEC 17025:2017, Clause 8.8 — and one of the most common sources of nonconformities raised by assessors. Typical assessor concerns include: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Common assessor challenge</w:t>
            </w:r>
          </w:p>
        </w:tc>
        <w:tc>
          <w:tcPr>
            <w:tcW w:type="dxa" w:w="0"/>
          </w:tcPr>
          <w:p>
            <w:r>
              <w:t>Typical laboratory gap</w:t>
            </w:r>
          </w:p>
        </w:tc>
        <w:tc>
          <w:tcPr>
            <w:tcW w:type="dxa" w:w="0"/>
          </w:tcPr>
          <w:p>
            <w:r>
              <w:t>Corresponding file in this pack</w:t>
            </w:r>
          </w:p>
        </w:tc>
      </w:tr>
      <w:tr>
        <w:tc>
          <w:tcPr>
            <w:tcW w:type="dxa" w:w="0"/>
          </w:tcPr>
          <w:p>
            <w:r>
              <w:t>“How does your audit programme reflect a risk-based approach?”</w:t>
            </w:r>
          </w:p>
        </w:tc>
        <w:tc>
          <w:tcPr>
            <w:tcW w:type="dxa" w:w="0"/>
          </w:tcPr>
          <w:p>
            <w:r>
              <w:t>The annual plan is just a department rota — no risk analysis, no frequency rationale</w:t>
            </w:r>
          </w:p>
        </w:tc>
        <w:tc>
          <w:tcPr>
            <w:tcW w:type="dxa" w:w="0"/>
          </w:tcPr>
          <w:p>
            <w:r>
              <w:t>LP-02 §5.1 + IA-01 (with risk-grading examples)</w:t>
            </w:r>
          </w:p>
        </w:tc>
      </w:tr>
      <w:tr>
        <w:tc>
          <w:tcPr>
            <w:tcW w:type="dxa" w:w="0"/>
          </w:tcPr>
          <w:p>
            <w:r>
              <w:t>“Does your checklist cover every element?”</w:t>
            </w:r>
          </w:p>
        </w:tc>
        <w:tc>
          <w:tcPr>
            <w:tcW w:type="dxa" w:w="0"/>
          </w:tcPr>
          <w:p>
            <w:r>
              <w:t>The checklist merely paraphrases the standard; no verification methods, no evidence fields</w:t>
            </w:r>
          </w:p>
        </w:tc>
        <w:tc>
          <w:tcPr>
            <w:tcW w:type="dxa" w:w="0"/>
          </w:tcPr>
          <w:p>
            <w:r>
              <w:t>IA-04 Full-Element Checklist (§4.1–§8.9, clause by clause)</w:t>
            </w:r>
          </w:p>
        </w:tc>
      </w:tr>
      <w:tr>
        <w:tc>
          <w:tcPr>
            <w:tcW w:type="dxa" w:w="0"/>
          </w:tcPr>
          <w:p>
            <w:r>
              <w:t>“Are auditors independent of the work being audited?”</w:t>
            </w:r>
          </w:p>
        </w:tc>
        <w:tc>
          <w:tcPr>
            <w:tcW w:type="dxa" w:w="0"/>
          </w:tcPr>
          <w:p>
            <w:r>
              <w:t>Small laboratories lack staff, so auditors audit their own work</w:t>
            </w:r>
          </w:p>
        </w:tc>
        <w:tc>
          <w:tcPr>
            <w:tcW w:type="dxa" w:w="0"/>
          </w:tcPr>
          <w:p>
            <w:r>
              <w:t>LP-02 §3, §5.2 (independence management + external auditor route)</w:t>
            </w:r>
          </w:p>
        </w:tc>
      </w:tr>
      <w:tr>
        <w:tc>
          <w:tcPr>
            <w:tcW w:type="dxa" w:w="0"/>
          </w:tcPr>
          <w:p>
            <w:r>
              <w:t>“Is the root-cause analysis of nonconformities adequate?”</w:t>
            </w:r>
          </w:p>
        </w:tc>
        <w:tc>
          <w:tcPr>
            <w:tcW w:type="dxa" w:w="0"/>
          </w:tcPr>
          <w:p>
            <w:r>
              <w:t>Analysis stops at “human error”; corrective action equals re-training</w:t>
            </w:r>
          </w:p>
        </w:tc>
        <w:tc>
          <w:tcPr>
            <w:tcW w:type="dxa" w:w="0"/>
          </w:tcPr>
          <w:p>
            <w:r>
              <w:t>FR-24 (root-cause guidance) + IA-06 (verification and closure)</w:t>
            </w:r>
          </w:p>
        </w:tc>
      </w:tr>
      <w:tr>
        <w:tc>
          <w:tcPr>
            <w:tcW w:type="dxa" w:w="0"/>
          </w:tcPr>
          <w:p>
            <w:r>
              <w:t>“Were last audit's findings actually fixed?”</w:t>
            </w:r>
          </w:p>
        </w:tc>
        <w:tc>
          <w:tcPr>
            <w:tcW w:type="dxa" w:w="0"/>
          </w:tcPr>
          <w:p>
            <w:r>
              <w:t>Nonconformity reports are filed and forgotten; no trend analysis</w:t>
            </w:r>
          </w:p>
        </w:tc>
        <w:tc>
          <w:tcPr>
            <w:tcW w:type="dxa" w:w="0"/>
          </w:tcPr>
          <w:p>
            <w:r>
              <w:t>IA-05 Distribution &amp; Trend Analysis + IA-06 Tracking &amp; Verification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2File Index and Recommended Order</w:t>
      </w:r>
    </w:p>
    <w:p>
      <w:pPr>
        <w:pStyle w:val="Heading2"/>
      </w:pPr>
    </w:p>
    <w:p>
      <w:r>
        <w:t>Files are listed in the natural sequence of an internal audit. Files marked “Website Library” carry the same numbers as the LabKitPro website template library (81-file, four-tier document system), so they can be merged seamlessly into your existing document architecture.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No.</w:t>
            </w:r>
          </w:p>
        </w:tc>
        <w:tc>
          <w:tcPr>
            <w:tcW w:type="dxa" w:w="0"/>
          </w:tcPr>
          <w:p>
            <w:r>
              <w:t>Document</w:t>
            </w:r>
          </w:p>
        </w:tc>
        <w:tc>
          <w:tcPr>
            <w:tcW w:type="dxa" w:w="0"/>
          </w:tcPr>
          <w:p>
            <w:r>
              <w:t>Code</w:t>
            </w:r>
          </w:p>
        </w:tc>
        <w:tc>
          <w:tcPr>
            <w:tcW w:type="dxa" w:w="0"/>
          </w:tcPr>
          <w:p>
            <w:r>
              <w:t>Purpose and when to use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Internal Audit Procedure</w:t>
            </w:r>
          </w:p>
        </w:tc>
        <w:tc>
          <w:tcPr>
            <w:tcW w:type="dxa" w:w="0"/>
          </w:tcPr>
          <w:p>
            <w:r>
              <w:rPr>
                <w:b/>
              </w:rPr>
              <w:t>LP-02</w:t>
            </w:r>
          </w:p>
        </w:tc>
        <w:tc>
          <w:tcPr>
            <w:tcW w:type="dxa" w:w="0"/>
          </w:tcPr>
          <w:p>
            <w:r>
              <w:t>Level-B procedure. Defines responsibilities and timeframes for planning, preparation, execution, reporting, correction and closure across the whole audit cycle. Year-round governing document — issue it under document control first.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Internal Audit Work Instruction</w:t>
            </w:r>
          </w:p>
        </w:tc>
        <w:tc>
          <w:tcPr>
            <w:tcW w:type="dxa" w:w="0"/>
          </w:tcPr>
          <w:p>
            <w:r>
              <w:rPr>
                <w:b/>
              </w:rPr>
              <w:t>IA-WI-01</w:t>
            </w:r>
          </w:p>
        </w:tc>
        <w:tc>
          <w:tcPr>
            <w:tcW w:type="dxa" w:w="0"/>
          </w:tcPr>
          <w:p>
            <w:r>
              <w:t>Level-C instruction. Teaches auditors how to build checklists, sample evidence and interview staff, with a library of typical cases. Use for initial auditor training.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Annual Internal Audit Plan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IA-01</w:t>
            </w:r>
          </w:p>
        </w:tc>
        <w:tc>
          <w:tcPr>
            <w:tcW w:type="dxa" w:w="0"/>
          </w:tcPr>
          <w:p>
            <w:r>
              <w:t>Prepare the next year's audit programme before year-end and obtain top-management approval. Includes risk-grading and frequency examples.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Audit Plan for Each Audit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IA-02</w:t>
            </w:r>
          </w:p>
        </w:tc>
        <w:tc>
          <w:tcPr>
            <w:tcW w:type="dxa" w:w="0"/>
          </w:tcPr>
          <w:p>
            <w:r>
              <w:t>Prepared by the audit team leader before each audit: objective, scope, criteria, allocation, schedule and sampling plan. Issued at least 5 working days in advance.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Opening &amp; Closing Meeting Record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IA-03</w:t>
            </w:r>
          </w:p>
        </w:tc>
        <w:tc>
          <w:tcPr>
            <w:tcW w:type="dxa" w:w="0"/>
          </w:tcPr>
          <w:p>
            <w:r>
              <w:t>Agenda checklists, attendance sheet and notes for both meetings on one form.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Internal Audit Checklist (Full Element)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IA-04</w:t>
            </w:r>
          </w:p>
        </w:tc>
        <w:tc>
          <w:tcPr>
            <w:tcW w:type="dxa" w:w="0"/>
          </w:tcPr>
          <w:p>
            <w:r>
              <w:t>Covers every clause of §4.1–§8.9 with audit points, verification methods, evidence fields and judgement fields. The core on-site tool.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Nonconformity Report</w:t>
            </w:r>
          </w:p>
        </w:tc>
        <w:tc>
          <w:tcPr>
            <w:tcW w:type="dxa" w:w="0"/>
          </w:tcPr>
          <w:p>
            <w:r>
              <w:rPr>
                <w:b/>
              </w:rPr>
              <w:t>FR-24</w:t>
            </w:r>
          </w:p>
        </w:tc>
        <w:tc>
          <w:tcPr>
            <w:tcW w:type="dxa" w:w="0"/>
          </w:tcPr>
          <w:p>
            <w:r>
              <w:t>Matches website library FR-24. Includes severity grading criteria, root-cause analysis guidance and good/poor wording examples.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Nonconformity Distribution &amp; Trend Analysis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IA-05</w:t>
            </w:r>
          </w:p>
        </w:tc>
        <w:tc>
          <w:tcPr>
            <w:tcW w:type="dxa" w:w="0"/>
          </w:tcPr>
          <w:p>
            <w:r>
              <w:t>Tallies distribution by clause, compares trends year over year, and produces conclusions on system weak points for the report and management review.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>Internal Audit Report</w:t>
            </w:r>
          </w:p>
        </w:tc>
        <w:tc>
          <w:tcPr>
            <w:tcW w:type="dxa" w:w="0"/>
          </w:tcPr>
          <w:p>
            <w:r>
              <w:rPr>
                <w:b/>
              </w:rPr>
              <w:t>FR-25</w:t>
            </w:r>
          </w:p>
        </w:tc>
        <w:tc>
          <w:tcPr>
            <w:tcW w:type="dxa" w:w="0"/>
          </w:tcPr>
          <w:p>
            <w:r>
              <w:t>Matches website library FR-25. Satisfies all elements of §8.8.2 c), including guidance on writing effectiveness conclusions.</w:t>
            </w:r>
          </w:p>
        </w:tc>
      </w:tr>
      <w:tr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Corrective Action Tracking &amp; Verification Log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IA-06</w:t>
            </w:r>
          </w:p>
        </w:tc>
        <w:tc>
          <w:tcPr>
            <w:tcW w:type="dxa" w:w="0"/>
          </w:tcPr>
          <w:p>
            <w:r>
              <w:t>A year-round lifecycle ledger from each FR-24 issued to verified closure, with effectiveness criteria and escalation rules.</w:t>
            </w:r>
          </w:p>
        </w:tc>
      </w:tr>
      <w:tr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This User Guide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IA-00</w:t>
            </w:r>
          </w:p>
        </w:tc>
        <w:tc>
          <w:tcPr>
            <w:tcW w:type="dxa" w:w="0"/>
          </w:tcPr>
          <w:p>
            <w:r>
              <w:t>File index, rollout timeline and frequently asked questions.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3The Nine-Step Audit Cycle</w:t>
      </w:r>
    </w:p>
    <w:p>
      <w:pPr>
        <w:pStyle w:val="Heading2"/>
      </w:pPr>
    </w:p>
    <w:p>
      <w:r>
        <w:rPr>
          <w:b/>
        </w:rPr>
        <w:t>1 · Annual planning</w:t>
      </w:r>
      <w:r>
        <w:t>Quality manager prepares IA-01 per LP-02 §5.1 with risk-based frequencies; top management approves</w:t>
        <w:t xml:space="preserve"> </w:t>
      </w:r>
      <w:r>
        <w:rPr>
          <w:b/>
        </w:rPr>
        <w:t>2 · Preparation</w:t>
      </w:r>
      <w:r>
        <w:t>Team leader issues IA-02 at least 5 working days ahead; auditors study relevant documents</w:t>
        <w:t xml:space="preserve"> </w:t>
      </w:r>
      <w:r>
        <w:rPr>
          <w:b/>
        </w:rPr>
        <w:t>3 · Checklist building</w:t>
      </w:r>
      <w:r>
        <w:t>Auditors follow IA-WI-01 and customise the clauses in scope from IA-04</w:t>
        <w:t xml:space="preserve"> </w:t>
      </w:r>
      <w:r>
        <w:rPr>
          <w:b/>
        </w:rPr>
        <w:t>4 · Opening meeting</w:t>
      </w:r>
      <w:r>
        <w:t>Team leader briefs objective, scope, criteria and schedule; attendance recorded on IA-03</w:t>
        <w:t xml:space="preserve"> </w:t>
      </w:r>
      <w:r>
        <w:rPr>
          <w:b/>
        </w:rPr>
        <w:t>5 · On-site audit</w:t>
      </w:r>
      <w:r>
        <w:t>Documents, records, observations and interviews; evidence captured on IA-04</w:t>
        <w:t xml:space="preserve"> </w:t>
      </w:r>
      <w:r>
        <w:rPr>
          <w:b/>
        </w:rPr>
        <w:t>6 · Raising nonconformities</w:t>
      </w:r>
      <w:r>
        <w:t>Facts confirmed with the auditee, then FR-24 issued and graded</w:t>
        <w:t xml:space="preserve"> </w:t>
      </w:r>
      <w:r>
        <w:rPr>
          <w:b/>
        </w:rPr>
        <w:t>7 · Closing meeting</w:t>
      </w:r>
      <w:r>
        <w:t>Findings and conclusions communicated; correction deadlines set; recorded on IA-03</w:t>
        <w:t xml:space="preserve"> </w:t>
      </w:r>
      <w:r>
        <w:rPr>
          <w:b/>
        </w:rPr>
        <w:t>8 · Report &amp; analysis</w:t>
      </w:r>
      <w:r>
        <w:t>Team leader issues FR-25 within 10 working days; IA-05 trend analysis completed</w:t>
        <w:t xml:space="preserve"> </w:t>
      </w:r>
      <w:r>
        <w:rPr>
          <w:b/>
        </w:rPr>
        <w:t>9 · Correction &amp; closure</w:t>
      </w:r>
      <w:r>
        <w:t>Responsible departments correct within deadline (FR-24); auditors verify closure via IA-06; results feed management review 4Suggested Rollout Timeline</w:t>
      </w:r>
    </w:p>
    <w:p>
      <w:pPr>
        <w:pStyle w:val="Heading2"/>
      </w:pPr>
    </w:p>
    <w:p>
      <w:pPr>
        <w:pStyle w:val="Heading3"/>
      </w:pPr>
      <w:r>
        <w:t>New laboratory / before first accreditation (4-week plan)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Time</w:t>
            </w:r>
          </w:p>
        </w:tc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Output</w:t>
            </w:r>
          </w:p>
        </w:tc>
      </w:tr>
      <w:tr>
        <w:tc>
          <w:tcPr>
            <w:tcW w:type="dxa" w:w="0"/>
          </w:tcPr>
          <w:p>
            <w:r>
              <w:t>Week 1</w:t>
            </w:r>
          </w:p>
        </w:tc>
        <w:tc>
          <w:tcPr>
            <w:tcW w:type="dxa" w:w="0"/>
          </w:tcPr>
          <w:p>
            <w:r>
              <w:t>Issue LP-02 (controlled); select and train auditors (half-day session using the IA-WI-01 case library)</w:t>
            </w:r>
          </w:p>
        </w:tc>
        <w:tc>
          <w:tcPr>
            <w:tcW w:type="dxa" w:w="0"/>
          </w:tcPr>
          <w:p>
            <w:r>
              <w:t>Controlled LP-02; auditor authorisation records</w:t>
            </w:r>
          </w:p>
        </w:tc>
      </w:tr>
      <w:tr>
        <w:tc>
          <w:tcPr>
            <w:tcW w:type="dxa" w:w="0"/>
          </w:tcPr>
          <w:p>
            <w:r>
              <w:t>Week 2</w:t>
            </w:r>
          </w:p>
        </w:tc>
        <w:tc>
          <w:tcPr>
            <w:tcW w:type="dxa" w:w="0"/>
          </w:tcPr>
          <w:p>
            <w:r>
              <w:t>Prepare and approve IA-01 annual plan; define audit scope (full-element coverage recommended for the first audit)</w:t>
            </w:r>
          </w:p>
        </w:tc>
        <w:tc>
          <w:tcPr>
            <w:tcW w:type="dxa" w:w="0"/>
          </w:tcPr>
          <w:p>
            <w:r>
              <w:t>Approved IA-01</w:t>
            </w:r>
          </w:p>
        </w:tc>
      </w:tr>
      <w:tr>
        <w:tc>
          <w:tcPr>
            <w:tcW w:type="dxa" w:w="0"/>
          </w:tcPr>
          <w:p>
            <w:r>
              <w:t>Week 3</w:t>
            </w:r>
          </w:p>
        </w:tc>
        <w:tc>
          <w:tcPr>
            <w:tcW w:type="dxa" w:w="0"/>
          </w:tcPr>
          <w:p>
            <w:r>
              <w:t>Issue IA-02 audit plan; auditors build individual checklists from IA-04</w:t>
            </w:r>
          </w:p>
        </w:tc>
        <w:tc>
          <w:tcPr>
            <w:tcW w:type="dxa" w:w="0"/>
          </w:tcPr>
          <w:p>
            <w:r>
              <w:t>Issued IA-02; customised checklists</w:t>
            </w:r>
          </w:p>
        </w:tc>
      </w:tr>
      <w:tr>
        <w:tc>
          <w:tcPr>
            <w:tcW w:type="dxa" w:w="0"/>
          </w:tcPr>
          <w:p>
            <w:r>
              <w:t>Week 4</w:t>
            </w:r>
          </w:p>
        </w:tc>
        <w:tc>
          <w:tcPr>
            <w:tcW w:type="dxa" w:w="0"/>
          </w:tcPr>
          <w:p>
            <w:r>
              <w:t>Run the on-site audit (full steps 1–9); complete report and nonconformities within a week</w:t>
            </w:r>
          </w:p>
        </w:tc>
        <w:tc>
          <w:tcPr>
            <w:tcW w:type="dxa" w:w="0"/>
          </w:tcPr>
          <w:p>
            <w:r>
              <w:t>First records: FR-24 / FR-25 / IA-05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Established laboratory (annual rolling)</w:t>
      </w:r>
    </w:p>
    <w:p>
      <w:pPr>
        <w:pStyle w:val="Heading3"/>
      </w:pPr>
    </w:p>
    <w:p>
      <w:r>
        <w:t>Prepare the next year's IA-01 every December; rotate by element block each quarter (management §4/§5/§8 → resources §6 → processes §7); audit high-risk areas (equipment, reporting, data management) every six months; complete year-end closure and consolidate IA-05 before November as management review input (§8.9.2 e)).</w:t>
      </w:r>
    </w:p>
    <w:p>
      <w:r>
        <w:rPr>
          <w:b/>
        </w:rPr>
        <w:t>Relationship to the website template library:</w:t>
      </w:r>
      <w:r>
        <w:t xml:space="preserve"> LP-02, FR-24 and FR-25 in this pack share the same codes and origin as their counterparts in the website's 81-file library and can be substituted or merged directly into your document list. IA-01 through IA-06 and IA-WI-01 are pack-exclusive supplements with independent numbering that do not conflict with the website library. All files can be adapted to your laboratory's name, department structure and scope of products — after modification, bring them under document control per your document-control procedure.</w:t>
        <w:t xml:space="preserve"> </w:t>
      </w:r>
      <w:r>
        <w:rPr>
          <w:b/>
        </w:rPr>
        <w:t>Usage notes:</w:t>
      </w:r>
      <w:r>
        <w:t xml:space="preserve"> ① Replace all “[bracketed]” placeholders with your laboratory's actual information before formal issue; ② for checklist IA-04, print or enable only the clause pages in scope for each audit, to avoid a one-size-fits-all sheet; ③ the timeframes in this pack (5 working days' notice, 10 working days for the report, 15 working days for correction) are recommended values — you may adjust them in LP-02 when the procedure is controlled, provided the adjusted values are then applied consistently.</w:t>
        <w:t xml:space="preserve"> </w:t>
        <w:t>LabKitPro · Internal Audit Complete Pack (English Version v1.0) · Prepared in accordance with ISO/IEC 17025:2017</w:t>
        <w:br/>
        <w:t>This pack is a paid template for internal use by the purchasing laboratory only. Do not redistribute or resell.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