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内部审核整套资料包 · 使用指南 | LabKitPro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YaHei",-apple-system,sans-serif;background:var(--bg);color:var(--ink);line-height:1.75;font-size:15px} .wrap{max-width:1080px;margin:0 auto;padding:0 24px 80px} header.hero{background:linear-gradient(135deg,#0f2f4a 0%,#16456b 60%,#1b6ea8 100%);color:#fff;padding:48px 24px 36px;margin-bottom:32px} .hero-inner{max-width:1080px;margin:0 auto} .kicker{font-size:13px;letter-spacing:2px;color:#8fd8cb;text-transform:uppercase;margin-bottom:10px} h1{font-size:28px;font-weight:800;line-height:1.35;margin-bottom:10px}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h2{font-size:21px;font-weight:800;color:var(--brand);margin:40px 0 8px;padding-top:8px} h2 .no{color:var(--accent);margin-right:8px} h3{font-size:16px;font-weight:700;color:var(--ink2);margin:24px 0 8px} .lead{color:var(--muted);font-size:14px;margin-bottom:16px} table{width:100%;border-collapse:collapse;margin:10px 0 6px;font-size:13.5px;table-layout:fixed} th{background:#eef3f7;color:var(--ink2);font-weight:700;text-align:left;padding:8px 10px;border:1px solid var(--line)} td{padding:8px 10px;border:1px solid var(--line);vertical-align:top} tbody tr:nth-child(even){background:#fafcfd} .note{background:#fff8ec;border:1px solid #f0d9b8;border-radius:10px;padding:12px 16px;font-size:13px;color:#6b5320;margin:14px 0} .note b{color:#a35b1a} .tip{background:#e7f4f1;border:1px solid #bfe3da;border-radius:10px;padding:12px 16px;font-size:13px;color:#1d5a50;margin:14px 0} .flow{display:flex;flex-wrap:wrap;gap:10px;margin:14px 0} .step{flex:1 1 140px;background:#f0f7fb;border:1px solid #cfe0ec;border-radius:10px;padding:11px 13px;font-size:12.5px} .step b{display:block;color:var(--accent2);font-size:12.5px;margin-bottom:3px} .foot{margin-top:48px;padding-top:18px;border-top:1px solid var(--line);color:var(--muted);font-size:12.5px;text-align:center} @media(max-width:760px){h1{font-size:22px}table{font-size:12.5px}th,td{padding:6px}.wrap{padding:0 14px 60px}} LabKitPro · Academy Template Pack 内部审核整套资料包</w:t>
        <w:br/>
        <w:t>使用指南与文件清单</w:t>
      </w:r>
    </w:p>
    <w:p>
      <w:pPr>
        <w:pStyle w:val="Heading1"/>
      </w:pPr>
    </w:p>
    <w:p>
      <w:r>
        <w:t>依据 ISO/IEC 17025:2017 第 8.8 条编制的内部审核全流程文件集：从年度策划、审核准备、现场实施、不符合管理到纠正闭环与报告归档，共 11 份文件，拿来即用。本指南说明各文件的用途、使用顺序与落地要点。 基准：ISO/IEC 17025:2017 §8.8 中文版 v1.0 11 份文件 全要素检查表 §4.1–§8.9 1这套资料包解决什么问题</w:t>
      </w:r>
    </w:p>
    <w:p>
      <w:pPr>
        <w:pStyle w:val="Heading2"/>
      </w:pPr>
    </w:p>
    <w:p>
      <w:r>
        <w:t>内部审核是 ISO/IEC 17025:2017 第 8.8 条的强制要求，也是评审中最容易被开出不符合项的环节之一。评审员常见的质疑点包括：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评审员常见质疑</w:t>
            </w:r>
          </w:p>
        </w:tc>
        <w:tc>
          <w:tcPr>
            <w:tcW w:type="dxa" w:w="0"/>
          </w:tcPr>
          <w:p>
            <w:r>
              <w:t>实验室典型短板</w:t>
            </w:r>
          </w:p>
        </w:tc>
        <w:tc>
          <w:tcPr>
            <w:tcW w:type="dxa" w:w="0"/>
          </w:tcPr>
          <w:p>
            <w:r>
              <w:t>本资料包对应文件</w:t>
            </w:r>
          </w:p>
        </w:tc>
      </w:tr>
      <w:tr>
        <w:tc>
          <w:tcPr>
            <w:tcW w:type="dxa" w:w="0"/>
          </w:tcPr>
          <w:p>
            <w:r>
              <w:t>「审核方案怎么体现风险导向？」</w:t>
            </w:r>
          </w:p>
        </w:tc>
        <w:tc>
          <w:tcPr>
            <w:tcW w:type="dxa" w:w="0"/>
          </w:tcPr>
          <w:p>
            <w:r>
              <w:t>年度计划只是部门轮流表，无风险分析、无频次依据</w:t>
            </w:r>
          </w:p>
        </w:tc>
        <w:tc>
          <w:tcPr>
            <w:tcW w:type="dxa" w:w="0"/>
          </w:tcPr>
          <w:p>
            <w:r>
              <w:t>LP-02 §5.1 + IA-01（含风险分级示例）</w:t>
            </w:r>
          </w:p>
        </w:tc>
      </w:tr>
      <w:tr>
        <w:tc>
          <w:tcPr>
            <w:tcW w:type="dxa" w:w="0"/>
          </w:tcPr>
          <w:p>
            <w:r>
              <w:t>「检查表覆盖全部要素了吗？」</w:t>
            </w:r>
          </w:p>
        </w:tc>
        <w:tc>
          <w:tcPr>
            <w:tcW w:type="dxa" w:w="0"/>
          </w:tcPr>
          <w:p>
            <w:r>
              <w:t>检查表只抄标准条文，无查证方法、无证据记录栏</w:t>
            </w:r>
          </w:p>
        </w:tc>
        <w:tc>
          <w:tcPr>
            <w:tcW w:type="dxa" w:w="0"/>
          </w:tcPr>
          <w:p>
            <w:r>
              <w:t>IA-04 全要素检查表（§4.1–§8.9 逐条款）</w:t>
            </w:r>
          </w:p>
        </w:tc>
      </w:tr>
      <w:tr>
        <w:tc>
          <w:tcPr>
            <w:tcW w:type="dxa" w:w="0"/>
          </w:tcPr>
          <w:p>
            <w:r>
              <w:t>「审核员独立于被审核工作吗？」</w:t>
            </w:r>
          </w:p>
        </w:tc>
        <w:tc>
          <w:tcPr>
            <w:tcW w:type="dxa" w:w="0"/>
          </w:tcPr>
          <w:p>
            <w:r>
              <w:t>小实验室人手不足，审核员审核自己的工作</w:t>
            </w:r>
          </w:p>
        </w:tc>
        <w:tc>
          <w:tcPr>
            <w:tcW w:type="dxa" w:w="0"/>
          </w:tcPr>
          <w:p>
            <w:r>
              <w:t>LP-02 §3、§5.2（独立性管理 + 外部审核员路径）</w:t>
            </w:r>
          </w:p>
        </w:tc>
      </w:tr>
      <w:tr>
        <w:tc>
          <w:tcPr>
            <w:tcW w:type="dxa" w:w="0"/>
          </w:tcPr>
          <w:p>
            <w:r>
              <w:t>「不符合项的原因分析到位吗？」</w:t>
            </w:r>
          </w:p>
        </w:tc>
        <w:tc>
          <w:tcPr>
            <w:tcW w:type="dxa" w:w="0"/>
          </w:tcPr>
          <w:p>
            <w:r>
              <w:t>原因分析写「人员疏忽」即收尾，纠正措施=再培训</w:t>
            </w:r>
          </w:p>
        </w:tc>
        <w:tc>
          <w:tcPr>
            <w:tcW w:type="dxa" w:w="0"/>
          </w:tcPr>
          <w:p>
            <w:r>
              <w:t>FR-24（原因分析指引）+ IA-06（验证关闭）</w:t>
            </w:r>
          </w:p>
        </w:tc>
      </w:tr>
      <w:tr>
        <w:tc>
          <w:tcPr>
            <w:tcW w:type="dxa" w:w="0"/>
          </w:tcPr>
          <w:p>
            <w:r>
              <w:t>「上次审核发现的问题这次改了吗？」</w:t>
            </w:r>
          </w:p>
        </w:tc>
        <w:tc>
          <w:tcPr>
            <w:tcW w:type="dxa" w:w="0"/>
          </w:tcPr>
          <w:p>
            <w:r>
              <w:t>不符合项报告归档后无人跟踪，缺乏趋势分析</w:t>
            </w:r>
          </w:p>
        </w:tc>
        <w:tc>
          <w:tcPr>
            <w:tcW w:type="dxa" w:w="0"/>
          </w:tcPr>
          <w:p>
            <w:r>
              <w:t>IA-05 分布与趋势分析 + IA-06 跟踪验证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2文件清单与使用顺序</w:t>
      </w:r>
    </w:p>
    <w:p>
      <w:pPr>
        <w:pStyle w:val="Heading2"/>
      </w:pPr>
    </w:p>
    <w:p>
      <w:r>
        <w:t>按内部审核的自然时序排列。标注「官网库」编号的文件与 LabKitPro 官网模板库（81 篇四级文件体系）编号一致，可无缝并入你已有的体系文件架构。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序号</w:t>
            </w:r>
          </w:p>
        </w:tc>
        <w:tc>
          <w:tcPr>
            <w:tcW w:type="dxa" w:w="0"/>
          </w:tcPr>
          <w:p>
            <w:r>
              <w:t>文件名称</w:t>
            </w:r>
          </w:p>
        </w:tc>
        <w:tc>
          <w:tcPr>
            <w:tcW w:type="dxa" w:w="0"/>
          </w:tcPr>
          <w:p>
            <w:r>
              <w:t>编号</w:t>
            </w:r>
          </w:p>
        </w:tc>
        <w:tc>
          <w:tcPr>
            <w:tcW w:type="dxa" w:w="0"/>
          </w:tcPr>
          <w:p>
            <w:r>
              <w:t>用途与使用时机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内部审核程序</w:t>
            </w:r>
          </w:p>
        </w:tc>
        <w:tc>
          <w:tcPr>
            <w:tcW w:type="dxa" w:w="0"/>
          </w:tcPr>
          <w:p>
            <w:r>
              <w:rPr>
                <w:b/>
              </w:rPr>
              <w:t>LP-02</w:t>
            </w:r>
          </w:p>
        </w:tc>
        <w:tc>
          <w:tcPr>
            <w:tcW w:type="dxa" w:w="0"/>
          </w:tcPr>
          <w:p>
            <w:r>
              <w:t>B 级程序文件。规定策划、准备、实施、报告、纠正、闭环全流程职责与时限。全年依据，先行发布受控。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内部审核作业指导书</w:t>
            </w:r>
          </w:p>
        </w:tc>
        <w:tc>
          <w:tcPr>
            <w:tcW w:type="dxa" w:w="0"/>
          </w:tcPr>
          <w:p>
            <w:r>
              <w:rPr>
                <w:b/>
              </w:rPr>
              <w:t>IA-WI-01</w:t>
            </w:r>
          </w:p>
        </w:tc>
        <w:tc>
          <w:tcPr>
            <w:tcW w:type="dxa" w:w="0"/>
          </w:tcPr>
          <w:p>
            <w:r>
              <w:t>C 级指导书。教审核员怎么编检查表、怎么抽样、怎么面谈取证，附典型案例库。首次内审前培训用。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年度内部审核计划表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IA-01</w:t>
            </w:r>
          </w:p>
        </w:tc>
        <w:tc>
          <w:tcPr>
            <w:tcW w:type="dxa" w:w="0"/>
          </w:tcPr>
          <w:p>
            <w:r>
              <w:t>每年年底前编制下年度方案，报主任批准。含风险分级与频次示例。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内部审核实施计划表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IA-02</w:t>
            </w:r>
          </w:p>
        </w:tc>
        <w:tc>
          <w:tcPr>
            <w:tcW w:type="dxa" w:w="0"/>
          </w:tcPr>
          <w:p>
            <w:r>
              <w:t>每次审核前由审核组长编制：目的、范围、准则、分工、日程、抽样方案。提前 5 个工作日发出。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首次/末次会议记录表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IA-03</w:t>
            </w:r>
          </w:p>
        </w:tc>
        <w:tc>
          <w:tcPr>
            <w:tcW w:type="dxa" w:w="0"/>
          </w:tcPr>
          <w:p>
            <w:r>
              <w:t>两次会议的议程清单、签到表与记录栏，一表两用。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内部审核检查表（全要素）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IA-04</w:t>
            </w:r>
          </w:p>
        </w:tc>
        <w:tc>
          <w:tcPr>
            <w:tcW w:type="dxa" w:w="0"/>
          </w:tcPr>
          <w:p>
            <w:r>
              <w:t>覆盖 §4.1–§8.9 全部条款，每条款含审核要点、查证方法、证据记录栏与判定栏。现场审核核心工具。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不符合项报告</w:t>
            </w:r>
          </w:p>
        </w:tc>
        <w:tc>
          <w:tcPr>
            <w:tcW w:type="dxa" w:w="0"/>
          </w:tcPr>
          <w:p>
            <w:r>
              <w:rPr>
                <w:b/>
              </w:rPr>
              <w:t>FR-24</w:t>
            </w:r>
          </w:p>
        </w:tc>
        <w:tc>
          <w:tcPr>
            <w:tcW w:type="dxa" w:w="0"/>
          </w:tcPr>
          <w:p>
            <w:r>
              <w:t>对应官网库 FR-24。含严重度分级标准、原因分析指引与好/差描述对照示例。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不符合项分布与趋势分析表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IA-05</w:t>
            </w:r>
          </w:p>
        </w:tc>
        <w:tc>
          <w:tcPr>
            <w:tcW w:type="dxa" w:w="0"/>
          </w:tcPr>
          <w:p>
            <w:r>
              <w:t>按条款统计分布、按年度对比趋势，输出体系薄弱环节结论，供报告与管理评审引用。</w:t>
            </w:r>
          </w:p>
        </w:tc>
      </w:tr>
      <w:tr>
        <w:tc>
          <w:tcPr>
            <w:tcW w:type="dxa" w:w="0"/>
          </w:tcPr>
          <w:p>
            <w:r>
              <w:t>9</w:t>
            </w:r>
          </w:p>
        </w:tc>
        <w:tc>
          <w:tcPr>
            <w:tcW w:type="dxa" w:w="0"/>
          </w:tcPr>
          <w:p>
            <w:r>
              <w:t>内部审核报告</w:t>
            </w:r>
          </w:p>
        </w:tc>
        <w:tc>
          <w:tcPr>
            <w:tcW w:type="dxa" w:w="0"/>
          </w:tcPr>
          <w:p>
            <w:r>
              <w:rPr>
                <w:b/>
              </w:rPr>
              <w:t>FR-25</w:t>
            </w:r>
          </w:p>
        </w:tc>
        <w:tc>
          <w:tcPr>
            <w:tcW w:type="dxa" w:w="0"/>
          </w:tcPr>
          <w:p>
            <w:r>
              <w:t>对应官网库 FR-25。满足 §8.8.2c 全要素，含体系有效性评价结论写法示例。</w:t>
            </w:r>
          </w:p>
        </w:tc>
      </w:tr>
      <w:tr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纠正措施跟踪验证表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IA-06</w:t>
            </w:r>
          </w:p>
        </w:tc>
        <w:tc>
          <w:tcPr>
            <w:tcW w:type="dxa" w:w="0"/>
          </w:tcPr>
          <w:p>
            <w:r>
              <w:t>从 FR-24 开出到验证关闭的全生命周期台账，含有效性验证判定要点与升级规则。</w:t>
            </w:r>
          </w:p>
        </w:tc>
      </w:tr>
      <w:tr>
        <w:tc>
          <w:tcPr>
            <w:tcW w:type="dxa" w:w="0"/>
          </w:tcPr>
          <w:p>
            <w:r>
              <w:t>11</w:t>
            </w:r>
          </w:p>
        </w:tc>
        <w:tc>
          <w:tcPr>
            <w:tcW w:type="dxa" w:w="0"/>
          </w:tcPr>
          <w:p>
            <w:r>
              <w:t>本使用指南</w:t>
            </w:r>
          </w:p>
        </w:tc>
        <w:tc>
          <w:tcPr>
            <w:tcW w:type="dxa" w:w="0"/>
          </w:tcPr>
          <w:p>
            <w:r>
              <w:rPr>
                <w:b/>
              </w:rPr>
              <w:t>IA-00</w:t>
            </w:r>
          </w:p>
        </w:tc>
        <w:tc>
          <w:tcPr>
            <w:tcW w:type="dxa" w:w="0"/>
          </w:tcPr>
          <w:p>
            <w:r>
              <w:t>文件清单、落地时间线与常见问题。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3一次完整内审的九步流程</w:t>
      </w:r>
    </w:p>
    <w:p>
      <w:pPr>
        <w:pStyle w:val="Heading2"/>
      </w:pPr>
    </w:p>
    <w:p>
      <w:r>
        <w:rPr>
          <w:b/>
        </w:rPr>
        <w:t>① 年度策划</w:t>
      </w:r>
      <w:r>
        <w:t>质量负责人按 LP-02 §5.1 编制 IA-01，风险导向分配频次，主任批准</w:t>
        <w:t xml:space="preserve"> </w:t>
      </w:r>
      <w:r>
        <w:rPr>
          <w:b/>
        </w:rPr>
        <w:t>② 审核准备</w:t>
      </w:r>
      <w:r>
        <w:t>组长编 IA-02 实施计划，提前 5 个工作日通知；审核员研读文件</w:t>
        <w:t xml:space="preserve"> </w:t>
      </w:r>
      <w:r>
        <w:rPr>
          <w:b/>
        </w:rPr>
        <w:t>③ 检查表编制</w:t>
      </w:r>
      <w:r>
        <w:t>审核员按 IA-WI-01 方法，从 IA-04 选取本次范围条款定制检查表</w:t>
        <w:t xml:space="preserve"> </w:t>
      </w:r>
      <w:r>
        <w:rPr>
          <w:b/>
        </w:rPr>
        <w:t>④ 首次会议</w:t>
      </w:r>
      <w:r>
        <w:t>组长主持，说明目的范围准则日程，签到记录于 IA-03</w:t>
        <w:t xml:space="preserve"> </w:t>
      </w:r>
      <w:r>
        <w:rPr>
          <w:b/>
        </w:rPr>
        <w:t>⑤ 现场审核</w:t>
      </w:r>
      <w:r>
        <w:t>查文件、查记录、看现场、面谈，证据记入 IA-04</w:t>
        <w:t xml:space="preserve"> </w:t>
      </w:r>
      <w:r>
        <w:rPr>
          <w:b/>
        </w:rPr>
        <w:t>⑥ 开具不符合</w:t>
      </w:r>
      <w:r>
        <w:t>与受审核方确认事实后开 FR-24，按分级标准定级</w:t>
        <w:t xml:space="preserve"> </w:t>
      </w:r>
      <w:r>
        <w:rPr>
          <w:b/>
        </w:rPr>
        <w:t>⑦ 末次会议</w:t>
      </w:r>
      <w:r>
        <w:t>通报发现与结论，明确整改时限，记录于 IA-03</w:t>
        <w:t xml:space="preserve"> </w:t>
      </w:r>
      <w:r>
        <w:rPr>
          <w:b/>
        </w:rPr>
        <w:t>⑧ 报告与分析</w:t>
      </w:r>
      <w:r>
        <w:t>组长 10 个工作日内发 FR-25；同步完成 IA-05 趋势分析</w:t>
        <w:t xml:space="preserve"> </w:t>
      </w:r>
      <w:r>
        <w:rPr>
          <w:b/>
        </w:rPr>
        <w:t>⑨ 纠正与闭环</w:t>
      </w:r>
      <w:r>
        <w:t>责任部门按期整改（FR-24），审核员按 IA-06 验证关闭，汇总入管理评审 4落地时间线建议</w:t>
      </w:r>
    </w:p>
    <w:p>
      <w:pPr>
        <w:pStyle w:val="Heading2"/>
      </w:pPr>
    </w:p>
    <w:p>
      <w:pPr>
        <w:pStyle w:val="Heading3"/>
      </w:pPr>
      <w:r>
        <w:t>新实验室 / 首次认可前（4 周方案）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时间</w:t>
            </w:r>
          </w:p>
        </w:tc>
        <w:tc>
          <w:tcPr>
            <w:tcW w:type="dxa" w:w="0"/>
          </w:tcPr>
          <w:p>
            <w:r>
              <w:t>动作</w:t>
            </w:r>
          </w:p>
        </w:tc>
        <w:tc>
          <w:tcPr>
            <w:tcW w:type="dxa" w:w="0"/>
          </w:tcPr>
          <w:p>
            <w:r>
              <w:t>产出</w:t>
            </w:r>
          </w:p>
        </w:tc>
      </w:tr>
      <w:tr>
        <w:tc>
          <w:tcPr>
            <w:tcW w:type="dxa" w:w="0"/>
          </w:tcPr>
          <w:p>
            <w:r>
              <w:t>第 1 周</w:t>
            </w:r>
          </w:p>
        </w:tc>
        <w:tc>
          <w:tcPr>
            <w:tcW w:type="dxa" w:w="0"/>
          </w:tcPr>
          <w:p>
            <w:r>
              <w:t>发布 LP-02（受控）；选定并培训内审员（用 IA-WI-01 案例库做半日培训）</w:t>
            </w:r>
          </w:p>
        </w:tc>
        <w:tc>
          <w:tcPr>
            <w:tcW w:type="dxa" w:w="0"/>
          </w:tcPr>
          <w:p>
            <w:r>
              <w:t>受控 LP-02；内审员授权记录</w:t>
            </w:r>
          </w:p>
        </w:tc>
      </w:tr>
      <w:tr>
        <w:tc>
          <w:tcPr>
            <w:tcW w:type="dxa" w:w="0"/>
          </w:tcPr>
          <w:p>
            <w:r>
              <w:t>第 2 周</w:t>
            </w:r>
          </w:p>
        </w:tc>
        <w:tc>
          <w:tcPr>
            <w:tcW w:type="dxa" w:w="0"/>
          </w:tcPr>
          <w:p>
            <w:r>
              <w:t>编制 IA-01 年度计划并批准；确定本次审核范围（建议首审覆盖全要素）</w:t>
            </w:r>
          </w:p>
        </w:tc>
        <w:tc>
          <w:tcPr>
            <w:tcW w:type="dxa" w:w="0"/>
          </w:tcPr>
          <w:p>
            <w:r>
              <w:t>批准的 IA-01</w:t>
            </w:r>
          </w:p>
        </w:tc>
      </w:tr>
      <w:tr>
        <w:tc>
          <w:tcPr>
            <w:tcW w:type="dxa" w:w="0"/>
          </w:tcPr>
          <w:p>
            <w:r>
              <w:t>第 3 周</w:t>
            </w:r>
          </w:p>
        </w:tc>
        <w:tc>
          <w:tcPr>
            <w:tcW w:type="dxa" w:w="0"/>
          </w:tcPr>
          <w:p>
            <w:r>
              <w:t>发 IA-02 实施计划；审核员按 IA-04 编制分工检查表</w:t>
            </w:r>
          </w:p>
        </w:tc>
        <w:tc>
          <w:tcPr>
            <w:tcW w:type="dxa" w:w="0"/>
          </w:tcPr>
          <w:p>
            <w:r>
              <w:t>发出的 IA-02；定制检查表</w:t>
            </w:r>
          </w:p>
        </w:tc>
      </w:tr>
      <w:tr>
        <w:tc>
          <w:tcPr>
            <w:tcW w:type="dxa" w:w="0"/>
          </w:tcPr>
          <w:p>
            <w:r>
              <w:t>第 4 周</w:t>
            </w:r>
          </w:p>
        </w:tc>
        <w:tc>
          <w:tcPr>
            <w:tcW w:type="dxa" w:w="0"/>
          </w:tcPr>
          <w:p>
            <w:r>
              <w:t>实施现场审核（①–⑨ 全流程）；一周内完成报告与不符合项开具</w:t>
            </w:r>
          </w:p>
        </w:tc>
        <w:tc>
          <w:tcPr>
            <w:tcW w:type="dxa" w:w="0"/>
          </w:tcPr>
          <w:p>
            <w:r>
              <w:t>FR-24 / FR-25 / IA-05 首版记录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已运行实验室（年度滚动）</w:t>
      </w:r>
    </w:p>
    <w:p>
      <w:pPr>
        <w:pStyle w:val="Heading3"/>
      </w:pPr>
    </w:p>
    <w:p>
      <w:r>
        <w:t>每年 12 月编制下年度 IA-01；按季度分板块滚动覆盖（管理要素 §4/§5/§8 → 资源要素 §6 → 过程要素 §7），高风险区域（设备、报告、数据管理）每半年一次；11 月前完成全年闭环并汇总 IA-05，作为管理评审输入（§8.9.2 e 项）。</w:t>
      </w:r>
    </w:p>
    <w:p>
      <w:r>
        <w:rPr>
          <w:b/>
        </w:rPr>
        <w:t>与官网模板库的关系：</w:t>
      </w:r>
      <w:r>
        <w:t>本资料包的 LP-02、FR-24、FR-25 与官网 81 篇模板库中的同名文件同源同编号，可直接替换或并入你的体系文件清单；IA-01～IA-06、IA-WI-01 为资料包专属补充件，编号独立、不与官网库冲突。所有文件均可按你的实验室名称、部门设置、产品范围做适应性修改——修改后按 LP-019 文件控制程序纳入受控管理。</w:t>
        <w:t xml:space="preserve"> </w:t>
      </w:r>
      <w:r>
        <w:rPr>
          <w:b/>
        </w:rPr>
        <w:t>使用提醒：</w:t>
      </w:r>
      <w:r>
        <w:t>① 文件中的「[方括号]」为待填字段，正式发布前务必替换为实验室实际信息；② 检查表 IA-04 建议每次审核只打印/启用本次范围涉及的条款页，避免一张表走天下的形式主义；③ 各文件时限（5 个工作日通知、10 个工作日报告、15 个工作日整改）为推荐值，可在 LP-02 受控时按实验室规模调整，但调整后应保持一致执行。</w:t>
        <w:t xml:space="preserve"> </w:t>
        <w:t>LabKitPro · 内部审核整套资料包（中文版 v1.0）· 依据 ISO/IEC 17025:2017 编制</w:t>
        <w:br/>
        <w:t>本资料包为付费模板，仅限购买方实验室内部使用，请勿对外传播或转售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