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LP-02 Internal Audit Procedure | LabKitPro Internal Audit Pack :root{--ink:#10202e;--ink2:#38505f;--muted:#5d7180;--bg:#f6f8fa;--card:#fff;--line:#dde5eb;--brand:#0f2f4a;--accent:#0e8f7d;--accent2:#1b6ea8;--warn:#a35b1a} *{box-sizing:border-box;margin:0;padding:0} body{font-family:"Inter","Segoe UI","Helvetica Neue",-apple-system,sans-serif;background:var(--bg);color:var(--ink);line-height:1.8;font-size:15px} .wrap{max-width:1080px;margin:0 auto;padding:0 24px 80px} header.hero{background:linear-gradient(135deg,#0f2f4a 0%,#16456b 60%,#1b6ea8 100%);color:#fff;padding:44px 24px 34px;margin-bottom:28px} .hero-inner{max-width:1080px;margin:0 auto} .kicker{font-size:13px;letter-spacing:2px;color:#8fd8cb;text-transform:uppercase;margin-bottom:10px} h1{font-size:28px;font-weight:800;margin-bottom:10px} .sub{font-size:14.5px;color:#cfe0ec;max-width:820px} .badge-row{margin-top:16px;display:flex;flex-wrap:wrap;gap:8px} .badge{font-size:12px;padding:4px 12px;border-radius:999px;background:rgba(255,255,255,.12);border:1px solid rgba(255,255,255,.25);color:#e8f2fa} h2{font-size:20px;font-weight:800;color:var(--brand);margin:36px 0 8px;padding-top:8px;border-top:2px solid #e3ecf2} h3{font-size:15.5px;font-weight:700;color:var(--ink2);margin:20px 0 8px} p{margin:6px 0} table{width:100%;border-collapse:collapse;margin:10px 0 6px;font-size:13px;table-layout:fixed} th{background:#eef3f7;color:var(--ink2);font-weight:700;text-align:left;padding:8px;border:1px solid var(--line)} td{padding:8px;border:1px solid var(--line);vertical-align:top} tbody tr:nth-child(even){background:#fafcfd} .note{background:#fff8ec;border:1px solid #f0d9b8;border-radius:10px;padding:12px 16px;font-size:13px;color:#6b5320;margin:14px 0} .note b{color:#a35b1a} .foot{margin-top:48px;padding-top:18px;border-top:1px solid var(--line);color:var(--muted);font-size:12.5px;text-align:center} .ph{color:#98a8b6} @media(max-width:760px){h1{font-size:22px}table{font-size:12px;min-width:560px}th,td{padding:5px}.wrap{padding:0 14px 60px}} LabKitPro · Level-B Procedure (LP) · Clause 8.8 Internal Audit Procedure</w:t>
      </w:r>
    </w:p>
    <w:p>
      <w:pPr>
        <w:pStyle w:val="Heading1"/>
      </w:pPr>
    </w:p>
    <w:p>
      <w:r>
        <w:t>Defines how the laboratory plans, establishes, implements and maintains its internal audit programme in accordance with ISO/IEC 17025:2017 §8.8.1–§8.8.2 (a)–(e), covering responsibilities, independence, execution, reporting and corrective-action closure. Doc No. LP-02 Version V1.0 Scope: §8.8.1–§8.8.2 Level-B procedure 1 Purpose</w:t>
      </w:r>
    </w:p>
    <w:p>
      <w:pPr>
        <w:pStyle w:val="Heading2"/>
      </w:pPr>
    </w:p>
    <w:p>
      <w:r>
        <w:t>To establish a standardised, risk-based internal audit process that verifies the laboratory's activities continue to conform to the requirements of ISO/IEC 17025:2017 and to its own management system, and that the system is effectively implemented, maintained and improved.</w:t>
      </w:r>
    </w:p>
    <w:p>
      <w:pPr>
        <w:pStyle w:val="Heading2"/>
      </w:pPr>
      <w:r>
        <w:t>2 Scope</w:t>
      </w:r>
    </w:p>
    <w:p>
      <w:r>
        <w:t>This procedure applies to all activities within the laboratory's scope of accreditation and to all elements of the management system (§4.1–§8.9), including activities conducted outside the fixed facility (on-site, mobile and customer premises), personnel, equipment, processes and management processes. It covers the planning, preparation, execution, reporting, corrective action and closure of internal audits.</w:t>
      </w:r>
    </w:p>
    <w:p>
      <w:pPr>
        <w:pStyle w:val="Heading2"/>
      </w:pPr>
      <w:r>
        <w:t>3 Responsibilities</w:t>
      </w:r>
    </w:p>
    <w:tbl>
      <w:tblPr>
        <w:tblW w:type="auto" w:w="0"/>
        <w:tblLook w:firstColumn="1" w:firstRow="1" w:lastColumn="0" w:lastRow="0" w:noHBand="0" w:noVBand="1" w:val="04A0"/>
      </w:tblPr>
      <w:tblGrid>
        <w:gridCol w:w="4320"/>
        <w:gridCol w:w="4320"/>
      </w:tblGrid>
      <w:tr>
        <w:tc>
          <w:tcPr>
            <w:tcW w:type="dxa" w:w="0"/>
          </w:tcPr>
          <w:p>
            <w:r>
              <w:t>Role</w:t>
            </w:r>
          </w:p>
        </w:tc>
        <w:tc>
          <w:tcPr>
            <w:tcW w:type="dxa" w:w="0"/>
          </w:tcPr>
          <w:p>
            <w:r>
              <w:t>Responsibilities</w:t>
            </w:r>
          </w:p>
        </w:tc>
      </w:tr>
      <w:tr>
        <w:tc>
          <w:tcPr>
            <w:tcW w:type="dxa" w:w="0"/>
          </w:tcPr>
          <w:p>
            <w:r>
              <w:t>Top management (laboratory director)</w:t>
            </w:r>
          </w:p>
        </w:tc>
        <w:tc>
          <w:tcPr>
            <w:tcW w:type="dxa" w:w="0"/>
          </w:tcPr>
          <w:p>
            <w:r>
              <w:t>Approves the annual audit programme (IA-01); allocates resources; receives audit reports; decides escalation of unresolved corrective actions.</w:t>
            </w:r>
          </w:p>
        </w:tc>
      </w:tr>
      <w:tr>
        <w:tc>
          <w:tcPr>
            <w:tcW w:type="dxa" w:w="0"/>
          </w:tcPr>
          <w:p>
            <w:r>
              <w:t>Quality Manager</w:t>
            </w:r>
          </w:p>
        </w:tc>
        <w:tc>
          <w:tcPr>
            <w:tcW w:type="dxa" w:w="0"/>
          </w:tcPr>
          <w:p>
            <w:r>
              <w:t>Establishes and maintains the annual programme; appoints audit team leaders and approves plans; ensures auditor independence; consolidates audit results for management review; maintains the audit record file.</w:t>
            </w:r>
          </w:p>
        </w:tc>
      </w:tr>
      <w:tr>
        <w:tc>
          <w:tcPr>
            <w:tcW w:type="dxa" w:w="0"/>
          </w:tcPr>
          <w:p>
            <w:r>
              <w:t>Audit team leader</w:t>
            </w:r>
          </w:p>
        </w:tc>
        <w:tc>
          <w:tcPr>
            <w:tcW w:type="dxa" w:w="0"/>
          </w:tcPr>
          <w:p>
            <w:r>
              <w:t>Prepares the audit plan for each audit (IA-02); allocates team members; chairs opening and closing meetings; ensures evidence is gathered and recorded; issues the audit report (FR-25) within 10 working days.</w:t>
            </w:r>
          </w:p>
        </w:tc>
      </w:tr>
      <w:tr>
        <w:tc>
          <w:tcPr>
            <w:tcW w:type="dxa" w:w="0"/>
          </w:tcPr>
          <w:p>
            <w:r>
              <w:t>Auditors</w:t>
            </w:r>
          </w:p>
        </w:tc>
        <w:tc>
          <w:tcPr>
            <w:tcW w:type="dxa" w:w="0"/>
          </w:tcPr>
          <w:p>
            <w:r>
              <w:t>Prepare checklists (IA-04); execute audits objectively; record evidence and findings; verify corrective actions and confirm closure (IA-06).</w:t>
            </w:r>
          </w:p>
        </w:tc>
      </w:tr>
      <w:tr>
        <w:tc>
          <w:tcPr>
            <w:tcW w:type="dxa" w:w="0"/>
          </w:tcPr>
          <w:p>
            <w:r>
              <w:t>Audited departments</w:t>
            </w:r>
          </w:p>
        </w:tc>
        <w:tc>
          <w:tcPr>
            <w:tcW w:type="dxa" w:w="0"/>
          </w:tcPr>
          <w:p>
            <w:r>
              <w:t>Provide access, evidence and escorts; confirm facts; implement corrections and corrective actions within deadlines; feed back verification evidence.</w:t>
            </w:r>
          </w:p>
        </w:tc>
      </w:tr>
    </w:tbl>
    <w:p>
      <w:r>
        <w:t xml:space="preserve"> </w:t>
      </w:r>
    </w:p>
    <w:p>
      <w:r>
        <w:t xml:space="preserve"> </w:t>
      </w:r>
    </w:p>
    <w:p>
      <w:r>
        <w:t xml:space="preserve"> </w:t>
      </w:r>
    </w:p>
    <w:p>
      <w:r>
        <w:t xml:space="preserve"> </w:t>
      </w:r>
    </w:p>
    <w:p>
      <w:r>
        <w:t xml:space="preserve"> </w:t>
      </w:r>
    </w:p>
    <w:p>
      <w:r>
        <w:t xml:space="preserve"> 4 Terms and Definitions</w:t>
      </w:r>
    </w:p>
    <w:p>
      <w:pPr>
        <w:pStyle w:val="Heading2"/>
      </w:pPr>
    </w:p>
    <w:tbl>
      <w:tblPr>
        <w:tblW w:type="auto" w:w="0"/>
        <w:tblLook w:firstColumn="1" w:firstRow="1" w:lastColumn="0" w:lastRow="0" w:noHBand="0" w:noVBand="1" w:val="04A0"/>
      </w:tblPr>
      <w:tblGrid>
        <w:gridCol w:w="4320"/>
        <w:gridCol w:w="4320"/>
      </w:tblGrid>
      <w:tr>
        <w:tc>
          <w:tcPr>
            <w:tcW w:type="dxa" w:w="0"/>
          </w:tcPr>
          <w:p>
            <w:r>
              <w:t>Term</w:t>
            </w:r>
          </w:p>
        </w:tc>
        <w:tc>
          <w:tcPr>
            <w:tcW w:type="dxa" w:w="0"/>
          </w:tcPr>
          <w:p>
            <w:r>
              <w:t>Definition</w:t>
            </w:r>
          </w:p>
        </w:tc>
      </w:tr>
      <w:tr>
        <w:tc>
          <w:tcPr>
            <w:tcW w:type="dxa" w:w="0"/>
          </w:tcPr>
          <w:p>
            <w:r>
              <w:t>Internal audit</w:t>
            </w:r>
          </w:p>
        </w:tc>
        <w:tc>
          <w:tcPr>
            <w:tcW w:type="dxa" w:w="0"/>
          </w:tcPr>
          <w:p>
            <w:r>
              <w:t>A systematic, independent and documented process for obtaining audit evidence and evaluating it objectively to determine the extent to which audit criteria are fulfilled.</w:t>
            </w:r>
          </w:p>
        </w:tc>
      </w:tr>
      <w:tr>
        <w:tc>
          <w:tcPr>
            <w:tcW w:type="dxa" w:w="0"/>
          </w:tcPr>
          <w:p>
            <w:r>
              <w:t>Audit programme</w:t>
            </w:r>
          </w:p>
        </w:tc>
        <w:tc>
          <w:tcPr>
            <w:tcW w:type="dxa" w:w="0"/>
          </w:tcPr>
          <w:p>
            <w:r>
              <w:t>Arrangements for a set of audits planned for a specific period (normally one year), including scope, frequency, methods, responsibilities and resource requirements.</w:t>
            </w:r>
          </w:p>
        </w:tc>
      </w:tr>
      <w:tr>
        <w:tc>
          <w:tcPr>
            <w:tcW w:type="dxa" w:w="0"/>
          </w:tcPr>
          <w:p>
            <w:r>
              <w:t>Audit criteria</w:t>
            </w:r>
          </w:p>
        </w:tc>
        <w:tc>
          <w:tcPr>
            <w:tcW w:type="dxa" w:w="0"/>
          </w:tcPr>
          <w:p>
            <w:r>
              <w:t>The set of policies, procedures and requirements used as a reference (ISO/IEC 17025:2017, applicable accreditation requirements, the laboratory's own system documents and applicable regulations).</w:t>
            </w:r>
          </w:p>
        </w:tc>
      </w:tr>
      <w:tr>
        <w:tc>
          <w:tcPr>
            <w:tcW w:type="dxa" w:w="0"/>
          </w:tcPr>
          <w:p>
            <w:r>
              <w:t>Nonconformity</w:t>
            </w:r>
          </w:p>
        </w:tc>
        <w:tc>
          <w:tcPr>
            <w:tcW w:type="dxa" w:w="0"/>
          </w:tcPr>
          <w:p>
            <w:r>
              <w:t>Non-fulfilment of a requirement (per §3.4 of the standard's terms).</w:t>
            </w:r>
          </w:p>
        </w:tc>
      </w:tr>
      <w:tr>
        <w:tc>
          <w:tcPr>
            <w:tcW w:type="dxa" w:w="0"/>
          </w:tcPr>
          <w:p>
            <w:r>
              <w:t>Observation</w:t>
            </w:r>
          </w:p>
        </w:tc>
        <w:tc>
          <w:tcPr>
            <w:tcW w:type="dxa" w:w="0"/>
          </w:tcPr>
          <w:p>
            <w:r>
              <w:t>A potential weakness or improvement opportunity identified during the audit that does not currently constitute a nonconformity.</w:t>
            </w:r>
          </w:p>
        </w:tc>
      </w:tr>
    </w:tbl>
    <w:p>
      <w:r>
        <w:t xml:space="preserve"> </w:t>
      </w:r>
    </w:p>
    <w:p>
      <w:r>
        <w:t xml:space="preserve"> </w:t>
      </w:r>
    </w:p>
    <w:p>
      <w:r>
        <w:t xml:space="preserve"> </w:t>
      </w:r>
    </w:p>
    <w:p>
      <w:r>
        <w:t xml:space="preserve"> </w:t>
      </w:r>
    </w:p>
    <w:p>
      <w:r>
        <w:t xml:space="preserve"> </w:t>
      </w:r>
    </w:p>
    <w:p>
      <w:r>
        <w:t xml:space="preserve"> 5 Procedure</w:t>
      </w:r>
    </w:p>
    <w:p>
      <w:pPr>
        <w:pStyle w:val="Heading2"/>
      </w:pPr>
    </w:p>
    <w:p>
      <w:pPr>
        <w:pStyle w:val="Heading3"/>
      </w:pPr>
      <w:r>
        <w:t>5.1 Annual Audit Programme (IA-01)</w:t>
      </w:r>
    </w:p>
    <w:p>
      <w:r>
        <w:rPr>
          <w:b/>
        </w:rPr>
        <w:t>5.1.1</w:t>
      </w:r>
      <w:r>
        <w:t xml:space="preserve"> The Quality Manager prepares the annual internal audit programme (IA-01) before the end of each year for the following year, covering all management system elements (§4.1–§8.9) at least once per year, and submits it to top management for approval.</w:t>
      </w:r>
    </w:p>
    <w:p>
      <w:r>
        <w:rPr>
          <w:b/>
        </w:rPr>
        <w:t>5.1.2 Risk-based frequency:</w:t>
      </w:r>
      <w:r>
        <w:t xml:space="preserve"> The frequency and depth of audits for each activity area are determined by risk level, considering (a) the impact of nonconformities on result validity; (b) previous audit findings and their trend; (c) changes to personnel, equipment, methods, regulations or scope; (d) complaint and nonconforming-work statistics; (e) external assessment findings. High-risk areas (e.g. reporting §7.8, data control §7.11, equipment §6.4, method validation §7.2) are audited at least twice a year.</w:t>
      </w:r>
    </w:p>
    <w:p>
      <w:r>
        <w:rPr>
          <w:b/>
        </w:rPr>
        <w:t>5.1.3 Programme changes:</w:t>
      </w:r>
      <w:r>
        <w:t xml:space="preserve"> The programme is reviewed at least twice a year and may be adjusted when any of the following occur: major nonconformities, scope extensions, significant organisational or regulatory changes, results of external assessments, or unresolved risk increases. All changes are recorded in the change log of IA-01 and approved by top management.</w:t>
      </w:r>
    </w:p>
    <w:p>
      <w:pPr>
        <w:pStyle w:val="Heading3"/>
      </w:pPr>
      <w:r>
        <w:t>5.2 Auditor Independence and Competence</w:t>
      </w:r>
    </w:p>
    <w:p>
      <w:r>
        <w:rPr>
          <w:b/>
        </w:rPr>
        <w:t>5.2.1 Independence:</w:t>
      </w:r>
      <w:r>
        <w:t xml:space="preserve"> Auditors shall not audit their own work. The Quality Manager verifies, for each audit, that every auditor is free from the activities they audit (checked in IA-02 §2 and confirmed at the opening meeting). Where the laboratory cannot achieve independence with internal personnel (e.g. in small laboratories), an external auditor may be engaged per §5.3.1 below.</w:t>
      </w:r>
    </w:p>
    <w:p>
      <w:r>
        <w:rPr>
          <w:b/>
        </w:rPr>
        <w:t>5.2.2 Competence:</w:t>
      </w:r>
      <w:r>
        <w:t xml:space="preserve"> Internal auditors shall be competent in (a) ISO/IEC 17025:2017 and applicable accreditation requirements; (b) the laboratory's system documents and technical processes; (c) audit principles, techniques and interview skills (per ISO 19011 guidance). Competence is confirmed and recorded through the personnel competence management process (§6.2).</w:t>
      </w:r>
    </w:p>
    <w:p>
      <w:pPr>
        <w:pStyle w:val="Heading3"/>
      </w:pPr>
      <w:r>
        <w:t>5.3 Audit Preparation</w:t>
      </w:r>
    </w:p>
    <w:p>
      <w:r>
        <w:rPr>
          <w:b/>
        </w:rPr>
        <w:t>5.3.1 External auditors (when used):</w:t>
      </w:r>
      <w:r>
        <w:t xml:space="preserve"> The Quality Manager evaluates the external auditor's qualification and independence, obtains a signed confidentiality and impartiality undertaking, and records this in the audit file.</w:t>
      </w:r>
    </w:p>
    <w:p>
      <w:r>
        <w:rPr>
          <w:b/>
        </w:rPr>
        <w:t>5.3.2 Audit plan:</w:t>
      </w:r>
      <w:r>
        <w:t xml:space="preserve"> For each audit, the team leader prepares the audit plan (IA-02) covering objective, scope, criteria, team allocation, independence confirmation, schedule (half-day granularity), sampling plan and the documents to be prepared by the auditee. The plan is issued to the audited departments at least 5 working days before the audit; conflicting schedules are fed back to the team leader within 2 working days for negotiation.</w:t>
      </w:r>
    </w:p>
    <w:p>
      <w:r>
        <w:rPr>
          <w:b/>
        </w:rPr>
        <w:t>5.3.3 Checklist preparation:</w:t>
      </w:r>
      <w:r>
        <w:t xml:space="preserve"> Auditors prepare their checklists from IA-04 by selecting the clauses in scope and tailoring audit items and sampling points per IA-WI-01 §2.</w:t>
      </w:r>
    </w:p>
    <w:p>
      <w:pPr>
        <w:pStyle w:val="Heading3"/>
      </w:pPr>
      <w:r>
        <w:t>5.4 Audit Execution</w:t>
      </w:r>
    </w:p>
    <w:p>
      <w:r>
        <w:rPr>
          <w:b/>
        </w:rPr>
        <w:t>5.4.1 Opening meeting:</w:t>
      </w:r>
      <w:r>
        <w:t xml:space="preserve"> The team leader chairs the opening meeting using the IA-03 checklist, confirming objective, scope, criteria, schedule, methods, sampling approach, grading, correction deadlines and appeal arrangements.</w:t>
      </w:r>
    </w:p>
    <w:p>
      <w:r>
        <w:rPr>
          <w:b/>
        </w:rPr>
        <w:t>5.4.2 Evidence gathering:</w:t>
      </w:r>
      <w:r>
        <w:t xml:space="preserve"> Auditors gather evidence through document review, record review, on-site observation and interviews, recording evidence on IA-04 (document numbers, record numbers, quantities, dates). Sampling follows the plan in IA-02 §4 and the rules in IA-WI-01 §3.</w:t>
      </w:r>
    </w:p>
    <w:p>
      <w:r>
        <w:rPr>
          <w:b/>
        </w:rPr>
        <w:t>5.4.3 Findings:</w:t>
      </w:r>
      <w:r>
        <w:t xml:space="preserve"> Audit findings are determined by evaluating the collected evidence against the audit criteria. Nonconformities are confirmed with the auditee on the spot, graded (major/minor per FR-24 §1) and recorded on FR-24. Observations and improvement opportunities are listed separately.</w:t>
      </w:r>
    </w:p>
    <w:p>
      <w:r>
        <w:rPr>
          <w:b/>
        </w:rPr>
        <w:t>5.4.4 Closing meeting:</w:t>
      </w:r>
      <w:r>
        <w:t xml:space="preserve"> The team leader presents the findings, reads out each nonconformity with its clause and facts, communicates the preliminary conclusions, confirms correction requirements and deadlines, and records attendance and communication on IA-03.</w:t>
      </w:r>
    </w:p>
    <w:p>
      <w:pPr>
        <w:pStyle w:val="Heading3"/>
      </w:pPr>
      <w:r>
        <w:t>5.5 Nonconformity Management</w:t>
      </w:r>
    </w:p>
    <w:p>
      <w:r>
        <w:rPr>
          <w:b/>
        </w:rPr>
        <w:t>5.5.1</w:t>
      </w:r>
      <w:r>
        <w:t xml:space="preserve"> Each nonconformity is issued on FR-24, containing objective facts, the clause nonconformed, the severity grade, the auditee's confirmation, root-cause analysis, immediate correction, corrective action, owner and deadline.</w:t>
      </w:r>
    </w:p>
    <w:p>
      <w:r>
        <w:rPr>
          <w:b/>
        </w:rPr>
        <w:t>5.5.2 Major nonconformities:</w:t>
      </w:r>
      <w:r>
        <w:t xml:space="preserve"> The team leader immediately assesses the impact on previously issued results (§7.10) and reports to the Quality Manager and top management without delay.</w:t>
      </w:r>
    </w:p>
    <w:p>
      <w:r>
        <w:rPr>
          <w:b/>
        </w:rPr>
        <w:t>5.5.3 Correction deadlines:</w:t>
      </w:r>
      <w:r>
        <w:t xml:space="preserve"> Correction evidence shall be submitted within 15 working days of the audit (or as agreed in the closing meeting for special cases).</w:t>
      </w:r>
    </w:p>
    <w:p>
      <w:pPr>
        <w:pStyle w:val="Heading3"/>
      </w:pPr>
      <w:r>
        <w:t>5.6 Audit Report</w:t>
      </w:r>
    </w:p>
    <w:p>
      <w:r>
        <w:rPr>
          <w:b/>
        </w:rPr>
        <w:t>5.6.1</w:t>
      </w:r>
      <w:r>
        <w:t xml:space="preserve"> The team leader issues the internal audit report (FR-25) within 10 working days of the audit, containing: audit overview; execution summary; findings by clause block; the nonconformity list; the effectiveness judgement of the management system with supporting evidence; conclusions and recommendations; and distribution records.</w:t>
      </w:r>
    </w:p>
    <w:p>
      <w:r>
        <w:rPr>
          <w:b/>
        </w:rPr>
        <w:t>5.6.2</w:t>
      </w:r>
      <w:r>
        <w:t xml:space="preserve"> The report is distributed to top management, the Quality Manager, the Technical Manager and the audited departments, and is retained under record control (§8.4) for no less than 6 years.</w:t>
      </w:r>
    </w:p>
    <w:p>
      <w:pPr>
        <w:pStyle w:val="Heading3"/>
      </w:pPr>
      <w:r>
        <w:t>5.7 Corrective Action and Verification</w:t>
      </w:r>
    </w:p>
    <w:p>
      <w:r>
        <w:rPr>
          <w:b/>
        </w:rPr>
        <w:t>5.7.1</w:t>
      </w:r>
      <w:r>
        <w:t xml:space="preserve"> The audited department performs the immediate correction and the root-cause-targeted corrective action (per §8.7 a)–c)), records them on FR-24 and submits evidence within the deadline.</w:t>
      </w:r>
    </w:p>
    <w:p>
      <w:r>
        <w:rPr>
          <w:b/>
        </w:rPr>
        <w:t>5.7.2</w:t>
      </w:r>
      <w:r>
        <w:t xml:space="preserve"> The auditor (or team leader for major nonconformities) verifies the effectiveness of the corrective action (per §8.7 d)) — rechecking a sample, checking non-recurrence over the following period, and confirming root-cause elimination — and records the verdict on FR-24 and in the tracking log IA-06.</w:t>
      </w:r>
    </w:p>
    <w:p>
      <w:r>
        <w:rPr>
          <w:b/>
        </w:rPr>
        <w:t>5.7.3</w:t>
      </w:r>
      <w:r>
        <w:t xml:space="preserve"> Where verification fails, the item is returned for a new root-cause analysis and the situation is escalated per the rules in IA-06 §3.</w:t>
      </w:r>
    </w:p>
    <w:p>
      <w:pPr>
        <w:pStyle w:val="Heading3"/>
      </w:pPr>
      <w:r>
        <w:t>5.8 Closure and Feedback</w:t>
      </w:r>
    </w:p>
    <w:p>
      <w:r>
        <w:rPr>
          <w:b/>
        </w:rPr>
        <w:t>5.8.1</w:t>
      </w:r>
      <w:r>
        <w:t xml:space="preserve"> Closed audit items and the consolidated distribution and trend analysis (IA-05) are submitted by the Quality Manager as management review input (§8.9.2 e)).</w:t>
      </w:r>
    </w:p>
    <w:p>
      <w:r>
        <w:rPr>
          <w:b/>
        </w:rPr>
        <w:t>5.8.2</w:t>
      </w:r>
      <w:r>
        <w:t xml:space="preserve"> Audit results feed back into the next year's audit programme (IA-01) — weak points identified are given higher frequency in the coming year.</w:t>
      </w:r>
    </w:p>
    <w:p>
      <w:r>
        <w:rPr>
          <w:b/>
        </w:rPr>
        <w:t>5.8.3</w:t>
      </w:r>
      <w:r>
        <w:t xml:space="preserve"> The complete audit record file (programme, plans, checklists, meeting records, nonconformity reports, report, tracking log) is archived under §8.4.</w:t>
      </w:r>
    </w:p>
    <w:p>
      <w:r>
        <w:rPr>
          <w:b/>
        </w:rPr>
        <w:t>5.8.4</w:t>
      </w:r>
      <w:r>
        <w:t xml:space="preserve"> Escalation: overdue corrections without a reasonable explanation, or recurring nonconformities after a previous correction, are reported in writing to the Quality Manager and escalated to top management; unresolved items are carried into the following year with reasons and reported in management review input d).</w:t>
      </w:r>
    </w:p>
    <w:p>
      <w:pPr>
        <w:pStyle w:val="Heading2"/>
      </w:pPr>
      <w:r>
        <w:t>6 Related Documents and Records</w:t>
      </w:r>
    </w:p>
    <w:tbl>
      <w:tblPr>
        <w:tblW w:type="auto" w:w="0"/>
        <w:tblLook w:firstColumn="1" w:firstRow="1" w:lastColumn="0" w:lastRow="0" w:noHBand="0" w:noVBand="1" w:val="04A0"/>
      </w:tblPr>
      <w:tblGrid>
        <w:gridCol w:w="4320"/>
        <w:gridCol w:w="4320"/>
      </w:tblGrid>
      <w:tr>
        <w:tc>
          <w:tcPr>
            <w:tcW w:type="dxa" w:w="0"/>
          </w:tcPr>
          <w:p>
            <w:r>
              <w:t>Related documents</w:t>
            </w:r>
          </w:p>
        </w:tc>
        <w:tc>
          <w:tcPr>
            <w:tcW w:type="dxa" w:w="0"/>
          </w:tcPr>
          <w:p>
            <w:r>
              <w:t>Related records</w:t>
            </w:r>
          </w:p>
        </w:tc>
      </w:tr>
      <w:tr>
        <w:tc>
          <w:tcPr>
            <w:tcW w:type="dxa" w:w="0"/>
          </w:tcPr>
          <w:p>
            <w:r>
              <w:t>ISO/IEC 17025:2017 §8.8; ISO 19011 (guidance for auditing management systems)</w:t>
            </w:r>
          </w:p>
        </w:tc>
        <w:tc>
          <w:tcPr>
            <w:tcW w:type="dxa" w:w="0"/>
          </w:tcPr>
          <w:p>
            <w:r>
              <w:t>IA-01 Annual Internal Audit Plan</w:t>
            </w:r>
          </w:p>
        </w:tc>
      </w:tr>
      <w:tr>
        <w:tc>
          <w:tcPr>
            <w:tcW w:type="dxa" w:w="0"/>
          </w:tcPr>
          <w:p>
            <w:r>
              <w:t>Quality Manual; Document Control Procedure; Record Control Procedure</w:t>
            </w:r>
          </w:p>
        </w:tc>
        <w:tc>
          <w:tcPr>
            <w:tcW w:type="dxa" w:w="0"/>
          </w:tcPr>
          <w:p>
            <w:r>
              <w:t>IA-02 Audit Plan for Each Audit</w:t>
            </w:r>
          </w:p>
        </w:tc>
      </w:tr>
      <w:tr>
        <w:tc>
          <w:tcPr>
            <w:tcW w:type="dxa" w:w="0"/>
          </w:tcPr>
          <w:p>
            <w:r>
              <w:t>Personnel Competence Management Procedure (§6.2)</w:t>
            </w:r>
          </w:p>
        </w:tc>
        <w:tc>
          <w:tcPr>
            <w:tcW w:type="dxa" w:w="0"/>
          </w:tcPr>
          <w:p>
            <w:r>
              <w:t>IA-03 Opening &amp; Closing Meeting Record</w:t>
            </w:r>
          </w:p>
        </w:tc>
      </w:tr>
      <w:tr>
        <w:tc>
          <w:tcPr>
            <w:tcW w:type="dxa" w:w="0"/>
          </w:tcPr>
          <w:p>
            <w:r>
              <w:t>Corrective Action Procedure (§8.7); Nonconforming Work Procedure (§7.10)</w:t>
            </w:r>
          </w:p>
        </w:tc>
        <w:tc>
          <w:tcPr>
            <w:tcW w:type="dxa" w:w="0"/>
          </w:tcPr>
          <w:p>
            <w:r>
              <w:t>IA-04 Internal Audit Checklist (Full Element)</w:t>
            </w:r>
          </w:p>
        </w:tc>
      </w:tr>
      <w:tr>
        <w:tc>
          <w:tcPr>
            <w:tcW w:type="dxa" w:w="0"/>
          </w:tcPr>
          <w:p>
            <w:r>
              <w:t>Risk and Opportunity Management Procedure (§8.5)</w:t>
            </w:r>
          </w:p>
        </w:tc>
        <w:tc>
          <w:tcPr>
            <w:tcW w:type="dxa" w:w="0"/>
          </w:tcPr>
          <w:p>
            <w:r>
              <w:t>IA-05 Nonconformity Distribution &amp; Trend Analysis</w:t>
            </w:r>
          </w:p>
        </w:tc>
      </w:tr>
      <w:tr>
        <w:tc>
          <w:tcPr>
            <w:tcW w:type="dxa" w:w="0"/>
          </w:tcPr>
          <w:p>
            <w:r>
              <w:t>Management Review Procedure (§8.9)</w:t>
            </w:r>
          </w:p>
        </w:tc>
        <w:tc>
          <w:tcPr>
            <w:tcW w:type="dxa" w:w="0"/>
          </w:tcPr>
          <w:p>
            <w:r>
              <w:t>IA-06 Corrective Action Tracking &amp; Verification Log</w:t>
            </w:r>
          </w:p>
        </w:tc>
      </w:tr>
      <w:tr>
        <w:tc>
          <w:tcPr>
            <w:tcW w:type="dxa" w:w="0"/>
          </w:tcPr>
          <w:p>
            <w:r>
              <w:t>—</w:t>
            </w:r>
          </w:p>
        </w:tc>
        <w:tc>
          <w:tcPr>
            <w:tcW w:type="dxa" w:w="0"/>
          </w:tcPr>
          <w:p>
            <w:r>
              <w:t>FR-24 Nonconformity Report; FR-25 Internal Audit Report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7 Appendix A — Auditor Competence and Authorisation</w:t>
      </w:r>
    </w:p>
    <w:p>
      <w:pPr>
        <w:pStyle w:val="Heading2"/>
      </w:pPr>
    </w:p>
    <w:p>
      <w:r>
        <w:t>Minimum competence criteria for internal auditors: (1) trained in ISO/IEC 17025:2017 clauses relevant to the audit scope; (2) trained in audit techniques (checklist building, sampling, interviewing, evidence evaluation) using IA-WI-01 and its case library; (3) at least one shadowed audit before first independent audit for new auditors; (4) independence confirmed for each audit assignment. Authorisation is recorded in the personnel file per §6.2.</w:t>
      </w:r>
    </w:p>
    <w:p>
      <w:pPr>
        <w:pStyle w:val="Heading2"/>
      </w:pPr>
      <w:r>
        <w:t>8 Appendix B — Audit Discipline and Impartiality</w:t>
      </w:r>
    </w:p>
    <w:p>
      <w:r>
        <w:t>Auditors shall: (1) declare any conflict of interest before each audit and recuse themselves from areas they manage or contributed to; (2) not audit their own work under any circumstances; (3) not accept gifts or benefits from audited departments during or after the audit; (4) keep audit information confidential (per §4.2); (5) base findings solely on objective evidence, confirming facts with the auditee. Breaches of these rules are reported to the Quality Manager and addressed as nonconforming work.</w:t>
      </w:r>
    </w:p>
    <w:p>
      <w:pPr>
        <w:pStyle w:val="Heading2"/>
      </w:pPr>
      <w:r>
        <w:t>Revision History</w:t>
      </w:r>
    </w:p>
    <w:tbl>
      <w:tblPr>
        <w:tblW w:type="auto" w:w="0"/>
        <w:tblLook w:firstColumn="1" w:firstRow="1" w:lastColumn="0" w:lastRow="0" w:noHBand="0" w:noVBand="1" w:val="04A0"/>
      </w:tblPr>
      <w:tblGrid>
        <w:gridCol w:w="2160"/>
        <w:gridCol w:w="2160"/>
        <w:gridCol w:w="2160"/>
        <w:gridCol w:w="2160"/>
      </w:tblGrid>
      <w:tr>
        <w:tc>
          <w:tcPr>
            <w:tcW w:type="dxa" w:w="0"/>
          </w:tcPr>
          <w:p>
            <w:r>
              <w:t>Rev.</w:t>
            </w:r>
          </w:p>
        </w:tc>
        <w:tc>
          <w:tcPr>
            <w:tcW w:type="dxa" w:w="0"/>
          </w:tcPr>
          <w:p>
            <w:r>
              <w:t>Date</w:t>
            </w:r>
          </w:p>
        </w:tc>
        <w:tc>
          <w:tcPr>
            <w:tcW w:type="dxa" w:w="0"/>
          </w:tcPr>
          <w:p>
            <w:r>
              <w:t>Change description</w:t>
            </w:r>
          </w:p>
        </w:tc>
        <w:tc>
          <w:tcPr>
            <w:tcW w:type="dxa" w:w="0"/>
          </w:tcPr>
          <w:p>
            <w:r>
              <w:t>Prepared / approved</w:t>
            </w:r>
          </w:p>
        </w:tc>
      </w:tr>
      <w:tr>
        <w:tc>
          <w:tcPr>
            <w:tcW w:type="dxa" w:w="0"/>
          </w:tcPr>
          <w:p>
            <w:r>
              <w:t>V1.0</w:t>
            </w:r>
          </w:p>
        </w:tc>
        <w:tc>
          <w:tcPr>
            <w:tcW w:type="dxa" w:w="0"/>
          </w:tcPr>
          <w:p>
            <w:r>
              <w:t>[YYYY-MM-DD]</w:t>
            </w:r>
          </w:p>
        </w:tc>
        <w:tc>
          <w:tcPr>
            <w:tcW w:type="dxa" w:w="0"/>
          </w:tcPr>
          <w:p>
            <w:r>
              <w:t>Initial issue</w:t>
            </w:r>
          </w:p>
        </w:tc>
        <w:tc>
          <w:tcPr>
            <w:tcW w:type="dxa" w:w="0"/>
          </w:tcPr>
          <w:p>
            <w:r>
              <w:t>[ ] / [ ]</w:t>
            </w:r>
          </w:p>
        </w:tc>
      </w:tr>
    </w:tbl>
    <w:p>
      <w:r>
        <w:t xml:space="preserve"> </w:t>
      </w:r>
    </w:p>
    <w:p>
      <w:r>
        <w:t xml:space="preserve"> </w:t>
      </w:r>
      <w:r>
        <w:rPr>
          <w:b/>
        </w:rPr>
        <w:t>Application note:</w:t>
      </w:r>
      <w:r>
        <w:t xml:space="preserve"> all forms in this pack use the same numbering as the LabKitPro website template library where codes match (FR-24, FR-25, LP-02); they can be merged into an existing document architecture. Placeholders in [brackets] must be replaced with the laboratory's actual information before controlled issue.</w:t>
        <w:t xml:space="preserve"> </w:t>
        <w:t>LP-02 Internal Audit Procedure · LabKitPro Internal Audit Complete Pack (English Version v1.0)</w:t>
        <w:br/>
        <w:t>Prepared in accordance with ISO/IEC 17025:2017 · Paid template for internal use by the purchasing laboratory only</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