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IA-WI-01 Internal Audit Work Instruction | LabKitPro Internal Audit Pack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p{margin:6px 0} table{width:100%;border-collapse:collapse;margin:10px 0 6px;font-size:13px;table-layout:fixed} th{background:#eef3f7;color:var(--ink2);font-weight:700;text-align:left;padding:8px;border:1px solid var(--line)} td{padding:8px;border:1px solid var(--line);vertical-align:top} tbody tr:nth-child(even){background:#fafcfd} .fill tbody td{background:#fff} .note{background:#fff8ec;border:1px solid #f0d9b8;border-radius:10px;padding:12px 16px;font-size:13px;color:#6b5320;margin:14px 0} .note b{color:#a35b1a} .bad{background:#fdeaea;border:1px solid #ecc8c8;border-radius:8px;padding:10px 14px;font-size:13px;color:#7a2830;margin:8px 0} .good{background:#e7f4f1;border:1px solid #bfe3da;border-radius:8px;padding:10px 14px;font-size:13px;color:#1d5a50;margin:8px 0} .foot{margin-top:48px;padding-top:18px;border-top:1px solid var(--line);color:var(--muted);font-size:12.5px;text-align:center} .ph{color:#98a8b6} @media(max-width:760px){h1{font-size:22px}table{font-size:12px;min-width:560px}th,td{padding:5px}.wrap{padding:0 14px 60px}} LabKitPro · Level-C Work Instruction (WI) · Supporting LP-02 Internal Audit Work Instruction</w:t>
      </w:r>
    </w:p>
    <w:p>
      <w:pPr>
        <w:pStyle w:val="Heading1"/>
      </w:pPr>
    </w:p>
    <w:p>
      <w:r>
        <w:t>Takes the Internal Audit Procedure (LP-02) down to the operating layer: how to build a checklist, how to sample, how to interview and gather evidence, how to grade and write nonconformities — with a built-in case library. This is the training text for first-time auditors. Doc No. IA-WI-01 Version V1.0 Supporting LP-02 Operating layer: build / sample / interview / grade 1 Scope</w:t>
      </w:r>
    </w:p>
    <w:p>
      <w:pPr>
        <w:pStyle w:val="Heading2"/>
      </w:pPr>
    </w:p>
    <w:p>
      <w:r>
        <w:t>This instruction is for use by audit team leaders, auditors, audited departments and quality personnel, in conjunction with LP-02 and the full set of audit forms (IA-01 through IA-06, FR-24, FR-25). Where this instruction conflicts with the procedure, LP-02 prevails; this document details how to execute, and does not change any responsibilities or flow.</w:t>
      </w:r>
    </w:p>
    <w:p>
      <w:pPr>
        <w:pStyle w:val="Heading2"/>
      </w:pPr>
      <w:r>
        <w:t>2 How to Build an Audit Checklist</w:t>
      </w:r>
    </w:p>
    <w:p>
      <w:r>
        <w:t>Follow these steps to turn the full-element checklist (IA-04) into the working checklist for this audit: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Step</w:t>
            </w:r>
          </w:p>
        </w:tc>
        <w:tc>
          <w:tcPr>
            <w:tcW w:type="dxa" w:w="0"/>
          </w:tcPr>
          <w:p>
            <w:r>
              <w:t>Operation</w:t>
            </w:r>
          </w:p>
        </w:tc>
      </w:tr>
      <w:tr>
        <w:tc>
          <w:tcPr>
            <w:tcW w:type="dxa" w:w="0"/>
          </w:tcPr>
          <w:p>
            <w:r>
              <w:t>1. Select clauses in scope</w:t>
            </w:r>
          </w:p>
        </w:tc>
        <w:tc>
          <w:tcPr>
            <w:tcW w:type="dxa" w:w="0"/>
          </w:tcPr>
          <w:p>
            <w:r>
              <w:t>Copy the clause pages of IA-04 that fall within this audit's scope (per IA-02); do not carry all pages every time.</w:t>
            </w:r>
          </w:p>
        </w:tc>
      </w:tr>
      <w:tr>
        <w:tc>
          <w:tcPr>
            <w:tcW w:type="dxa" w:w="0"/>
          </w:tcPr>
          <w:p>
            <w:r>
              <w:t>2. Tailor the audit items</w:t>
            </w:r>
          </w:p>
        </w:tc>
        <w:tc>
          <w:tcPr>
            <w:tcW w:type="dxa" w:w="0"/>
          </w:tcPr>
          <w:p>
            <w:r>
              <w:t>Adjust the audit items to this audit's actual focus: e.g. for an equipment-focused audit, keep every §6.4 item and add items on first-use records after calibration and confirmation of calibration results.</w:t>
            </w:r>
          </w:p>
        </w:tc>
      </w:tr>
      <w:tr>
        <w:tc>
          <w:tcPr>
            <w:tcW w:type="dxa" w:w="0"/>
          </w:tcPr>
          <w:p>
            <w:r>
              <w:t>3. Pre-set sampling points</w:t>
            </w:r>
          </w:p>
        </w:tc>
        <w:tc>
          <w:tcPr>
            <w:tcW w:type="dxa" w:w="0"/>
          </w:tcPr>
          <w:p>
            <w:r>
              <w:t>Fill in, before the audit, the sampling plan per IA-02 §4 (which months, which records, which on-site actions), so the checklist guides the day rather than being filled out in hindsight.</w:t>
            </w:r>
          </w:p>
        </w:tc>
      </w:tr>
      <w:tr>
        <w:tc>
          <w:tcPr>
            <w:tcW w:type="dxa" w:w="0"/>
          </w:tcPr>
          <w:p>
            <w:r>
              <w:t>4. Add “evidence to collect”</w:t>
            </w:r>
          </w:p>
        </w:tc>
        <w:tc>
          <w:tcPr>
            <w:tcW w:type="dxa" w:w="0"/>
          </w:tcPr>
          <w:p>
            <w:r>
              <w:t>In the evidence column, note the specific document/record numbers you will seek — a checklist that records evidence at the moment of finding it is reliable; one completed afterwards is not.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 How to Sample (the core audit skill)</w:t>
      </w:r>
    </w:p>
    <w:p>
      <w:pPr>
        <w:pStyle w:val="Heading2"/>
      </w:pPr>
    </w:p>
    <w:p>
      <w:r>
        <w:t>Sampling rules of thumb that keep findings defensible: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Rule</w:t>
            </w:r>
          </w:p>
        </w:tc>
        <w:tc>
          <w:tcPr>
            <w:tcW w:type="dxa" w:w="0"/>
          </w:tcPr>
          <w:p>
            <w:r>
              <w:t>Application</w:t>
            </w:r>
          </w:p>
        </w:tc>
      </w:tr>
      <w:tr>
        <w:tc>
          <w:tcPr>
            <w:tcW w:type="dxa" w:w="0"/>
          </w:tcPr>
          <w:p>
            <w:r>
              <w:t>Cover spread, not just the first page</w:t>
            </w:r>
          </w:p>
        </w:tc>
        <w:tc>
          <w:tcPr>
            <w:tcW w:type="dxa" w:w="0"/>
          </w:tcPr>
          <w:p>
            <w:r>
              <w:t>Sample evenly across the period in scope (by month), not only the most recent or most convenient files.</w:t>
            </w:r>
          </w:p>
        </w:tc>
      </w:tr>
      <w:tr>
        <w:tc>
          <w:tcPr>
            <w:tcW w:type="dxa" w:w="0"/>
          </w:tcPr>
          <w:p>
            <w:r>
              <w:t>Minimum three per item</w:t>
            </w:r>
          </w:p>
        </w:tc>
        <w:tc>
          <w:tcPr>
            <w:tcW w:type="dxa" w:w="0"/>
          </w:tcPr>
          <w:p>
            <w:r>
              <w:t>At least 3 records per audit item; for high-risk items (report sign-off, data integrity) take 5–8.</w:t>
            </w:r>
          </w:p>
        </w:tc>
      </w:tr>
      <w:tr>
        <w:tc>
          <w:tcPr>
            <w:tcW w:type="dxa" w:w="0"/>
          </w:tcPr>
          <w:p>
            <w:r>
              <w:t>Trace one end to end</w:t>
            </w:r>
          </w:p>
        </w:tc>
        <w:tc>
          <w:tcPr>
            <w:tcW w:type="dxa" w:w="0"/>
          </w:tcPr>
          <w:p>
            <w:r>
              <w:t>For process items, follow one sample/item from start to finish — e.g. one customer request → sampling → analysis → report → archive — rather than looking at steps in isolation.</w:t>
            </w:r>
          </w:p>
        </w:tc>
      </w:tr>
      <w:tr>
        <w:tc>
          <w:tcPr>
            <w:tcW w:type="dxa" w:w="0"/>
          </w:tcPr>
          <w:p>
            <w:r>
              <w:t>Include the exceptional</w:t>
            </w:r>
          </w:p>
        </w:tc>
        <w:tc>
          <w:tcPr>
            <w:tcW w:type="dxa" w:w="0"/>
          </w:tcPr>
          <w:p>
            <w:r>
              <w:t>Deliberately sample the unusual: records after equipment repair, first batch signed by a newly authorised person, night-shift records, corrective-action cases.</w:t>
            </w:r>
          </w:p>
        </w:tc>
      </w:tr>
      <w:tr>
        <w:tc>
          <w:tcPr>
            <w:tcW w:type="dxa" w:w="0"/>
          </w:tcPr>
          <w:p>
            <w:r>
              <w:t>State the sample</w:t>
            </w:r>
          </w:p>
        </w:tc>
        <w:tc>
          <w:tcPr>
            <w:tcW w:type="dxa" w:w="0"/>
          </w:tcPr>
          <w:p>
            <w:r>
              <w:t>Record exactly what was sampled (dates, numbers, counts) so the auditee can reproduce the finding.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How to Interview and Gather Evidence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Technique</w:t>
            </w:r>
          </w:p>
        </w:tc>
        <w:tc>
          <w:tcPr>
            <w:tcW w:type="dxa" w:w="0"/>
          </w:tcPr>
          <w:p>
            <w:r>
              <w:t>Application</w:t>
            </w:r>
          </w:p>
        </w:tc>
      </w:tr>
      <w:tr>
        <w:tc>
          <w:tcPr>
            <w:tcW w:type="dxa" w:w="0"/>
          </w:tcPr>
          <w:p>
            <w:r>
              <w:t>Ask about real cases</w:t>
            </w:r>
          </w:p>
        </w:tc>
        <w:tc>
          <w:tcPr>
            <w:tcW w:type="dxa" w:w="0"/>
          </w:tcPr>
          <w:p>
            <w:r>
              <w:t>“Show me the last report you signed” is evidence; “do you know the procedure?” is opinion. Prefer asking for demonstrations over hypothetical answers.</w:t>
            </w:r>
          </w:p>
        </w:tc>
      </w:tr>
      <w:tr>
        <w:tc>
          <w:tcPr>
            <w:tcW w:type="dxa" w:w="0"/>
          </w:tcPr>
          <w:p>
            <w:r>
              <w:t>Three confirmation channels</w:t>
            </w:r>
          </w:p>
        </w:tc>
        <w:tc>
          <w:tcPr>
            <w:tcW w:type="dxa" w:w="0"/>
          </w:tcPr>
          <w:p>
            <w:r>
              <w:t>An audit statement is confirmed when document + record + observation or interview agree. A finding from only one channel is usually an observation, not a nonconformity.</w:t>
            </w:r>
          </w:p>
        </w:tc>
      </w:tr>
      <w:tr>
        <w:tc>
          <w:tcPr>
            <w:tcW w:type="dxa" w:w="0"/>
          </w:tcPr>
          <w:p>
            <w:r>
              <w:t>Listen, then verify</w:t>
            </w:r>
          </w:p>
        </w:tc>
        <w:tc>
          <w:tcPr>
            <w:tcW w:type="dxa" w:w="0"/>
          </w:tcPr>
          <w:p>
            <w:r>
              <w:t>When staff describe a process, ask them to open the actual record and walk you through it — the walkthrough is the evidence.</w:t>
            </w:r>
          </w:p>
        </w:tc>
      </w:tr>
      <w:tr>
        <w:tc>
          <w:tcPr>
            <w:tcW w:type="dxa" w:w="0"/>
          </w:tcPr>
          <w:p>
            <w:r>
              <w:t>Record facts, not people</w:t>
            </w:r>
          </w:p>
        </w:tc>
        <w:tc>
          <w:tcPr>
            <w:tcW w:type="dxa" w:w="0"/>
          </w:tcPr>
          <w:p>
            <w:r>
              <w:t>Capture dates, document numbers, quantities and locations; avoid naming individuals in the finding. Nonconformities address the system, not the person.</w:t>
            </w:r>
          </w:p>
        </w:tc>
      </w:tr>
      <w:tr>
        <w:tc>
          <w:tcPr>
            <w:tcW w:type="dxa" w:w="0"/>
          </w:tcPr>
          <w:p>
            <w:r>
              <w:t>Confirm facts on the spot</w:t>
            </w:r>
          </w:p>
        </w:tc>
        <w:tc>
          <w:tcPr>
            <w:tcW w:type="dxa" w:w="0"/>
          </w:tcPr>
          <w:p>
            <w:r>
              <w:t>At the closing meeting, or immediately after the finding, read the fact statement back to the auditee and obtain confirmation (FR-24 §1).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 How to Grade and Write Nonconformities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Grade</w:t>
            </w:r>
          </w:p>
        </w:tc>
        <w:tc>
          <w:tcPr>
            <w:tcW w:type="dxa" w:w="0"/>
          </w:tcPr>
          <w:p>
            <w:r>
              <w:t>Criteria</w:t>
            </w:r>
          </w:p>
        </w:tc>
      </w:tr>
      <w:tr>
        <w:tc>
          <w:tcPr>
            <w:tcW w:type="dxa" w:w="0"/>
          </w:tcPr>
          <w:p>
            <w:r>
              <w:t>Major</w:t>
            </w:r>
          </w:p>
        </w:tc>
        <w:tc>
          <w:tcPr>
            <w:tcW w:type="dxa" w:w="0"/>
          </w:tcPr>
          <w:p>
            <w:r>
              <w:t>Absence or complete loss of a requirement; a nonconformity that directly undermines result validity; a finding that recurs after a previous correction.</w:t>
            </w:r>
          </w:p>
        </w:tc>
      </w:tr>
      <w:tr>
        <w:tc>
          <w:tcPr>
            <w:tcW w:type="dxa" w:w="0"/>
          </w:tcPr>
          <w:p>
            <w:r>
              <w:t>Minor</w:t>
            </w:r>
          </w:p>
        </w:tc>
        <w:tc>
          <w:tcPr>
            <w:tcW w:type="dxa" w:w="0"/>
          </w:tcPr>
          <w:p>
            <w:r>
              <w:t>A single occurrence, partial nonconformity, no direct impact on result validity — e.g. one record missing one field.</w:t>
            </w:r>
          </w:p>
        </w:tc>
      </w:tr>
      <w:tr>
        <w:tc>
          <w:tcPr>
            <w:tcW w:type="dxa" w:w="0"/>
          </w:tcPr>
          <w:p>
            <w:r>
              <w:t>Observation</w:t>
            </w:r>
          </w:p>
        </w:tc>
        <w:tc>
          <w:tcPr>
            <w:tcW w:type="dxa" w:w="0"/>
          </w:tcPr>
          <w:p>
            <w:r>
              <w:t>A potential weakness or improvement opportunity, no current nonconformity demonstrated.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Poor writing:</w:t>
      </w:r>
      <w:r>
        <w:t xml:space="preserve"> “Report quality is poor” — a judgement, not a fact; cannot be verified or corrected.</w:t>
      </w:r>
    </w:p>
    <w:p>
      <w:r>
        <w:rPr>
          <w:b/>
        </w:rPr>
        <w:t>Good writing:</w:t>
      </w:r>
      <w:r>
        <w:t xml:space="preserve"> “Report No. TR-2026-031 (issued 2026-02-18) does not state the sampling location required by §7.8.3; the sampling record shows the site was A001. The template revision TR-2025-02 in use also omits this field.” — objective, citable, fixable.</w:t>
      </w:r>
    </w:p>
    <w:p>
      <w:pPr>
        <w:pStyle w:val="Heading2"/>
      </w:pPr>
      <w:r>
        <w:t>6 Case Library (typical findings and how to phrase them)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Typical finding</w:t>
            </w:r>
          </w:p>
        </w:tc>
        <w:tc>
          <w:tcPr>
            <w:tcW w:type="dxa" w:w="0"/>
          </w:tcPr>
          <w:p>
            <w:r>
              <w:t>How to phrase it</w:t>
            </w:r>
          </w:p>
        </w:tc>
      </w:tr>
      <w:tr>
        <w:tc>
          <w:tcPr>
            <w:tcW w:type="dxa" w:w="0"/>
          </w:tcPr>
          <w:p>
            <w:r>
              <w:t>Equipment (§6.4)</w:t>
            </w:r>
          </w:p>
        </w:tc>
        <w:tc>
          <w:tcPr>
            <w:tcW w:type="dxa" w:w="0"/>
          </w:tcPr>
          <w:p>
            <w:r>
              <w:t>Instrument used before the calibration result was confirmed after return from calibration</w:t>
            </w:r>
          </w:p>
        </w:tc>
        <w:tc>
          <w:tcPr>
            <w:tcW w:type="dxa" w:w="0"/>
          </w:tcPr>
          <w:p>
            <w:r>
              <w:t>“Instrument SN-2210 was used for report TR-2026-020 on 2026-02-10; the calibration certificate Cal-2026-014 was only confirmed by the Technical Manager on 2026-02-15. The equipment management procedure LP-09 §6.4.13 requires confirmation before use.”</w:t>
            </w:r>
          </w:p>
        </w:tc>
      </w:tr>
      <w:tr>
        <w:tc>
          <w:tcPr>
            <w:tcW w:type="dxa" w:w="0"/>
          </w:tcPr>
          <w:p>
            <w:r>
              <w:t>Reporting (§7.8)</w:t>
            </w:r>
          </w:p>
        </w:tc>
        <w:tc>
          <w:tcPr>
            <w:tcW w:type="dxa" w:w="0"/>
          </w:tcPr>
          <w:p>
            <w:r>
              <w:t>Sampling information missing from a report</w:t>
            </w:r>
          </w:p>
        </w:tc>
        <w:tc>
          <w:tcPr>
            <w:tcW w:type="dxa" w:w="0"/>
          </w:tcPr>
          <w:p>
            <w:r>
              <w:t>“Report TR-2026-031 does not state the sampling location; the sampling record shows site A001. §7.8.3 requires the report to include all sampling information.”</w:t>
            </w:r>
          </w:p>
        </w:tc>
      </w:tr>
      <w:tr>
        <w:tc>
          <w:tcPr>
            <w:tcW w:type="dxa" w:w="0"/>
          </w:tcPr>
          <w:p>
            <w:r>
              <w:t>Records (§7.5)</w:t>
            </w:r>
          </w:p>
        </w:tc>
        <w:tc>
          <w:tcPr>
            <w:tcW w:type="dxa" w:w="0"/>
          </w:tcPr>
          <w:p>
            <w:r>
              <w:t>Observation written in pencil / electronic record without audit trail</w:t>
            </w:r>
          </w:p>
        </w:tc>
        <w:tc>
          <w:tcPr>
            <w:tcW w:type="dxa" w:w="0"/>
          </w:tcPr>
          <w:p>
            <w:r>
              <w:t>“The pH record for sample S-0218 on 2026-01-12 is written in pencil; §7.5.1 requires amendments to be legible and traceable.”</w:t>
            </w:r>
          </w:p>
        </w:tc>
      </w:tr>
      <w:tr>
        <w:tc>
          <w:tcPr>
            <w:tcW w:type="dxa" w:w="0"/>
          </w:tcPr>
          <w:p>
            <w:r>
              <w:t>Traceability (§6.5)</w:t>
            </w:r>
          </w:p>
        </w:tc>
        <w:tc>
          <w:tcPr>
            <w:tcW w:type="dxa" w:w="0"/>
          </w:tcPr>
          <w:p>
            <w:r>
              <w:t>Intermediate check overdue, plan without criteria</w:t>
            </w:r>
          </w:p>
        </w:tc>
        <w:tc>
          <w:tcPr>
            <w:tcW w:type="dxa" w:w="0"/>
          </w:tcPr>
          <w:p>
            <w:r>
              <w:t>“The monthly intermediate check of the analytical balance has no recorded criteria or tolerance; §6.4.6 requires checks to have defined criteria.”</w:t>
            </w:r>
          </w:p>
        </w:tc>
      </w:tr>
      <w:tr>
        <w:tc>
          <w:tcPr>
            <w:tcW w:type="dxa" w:w="0"/>
          </w:tcPr>
          <w:p>
            <w:r>
              <w:t>Complaints (§7.9)</w:t>
            </w:r>
          </w:p>
        </w:tc>
        <w:tc>
          <w:tcPr>
            <w:tcW w:type="dxa" w:w="0"/>
          </w:tcPr>
          <w:p>
            <w:r>
              <w:t>Complaint registered but no response record</w:t>
            </w:r>
          </w:p>
        </w:tc>
        <w:tc>
          <w:tcPr>
            <w:tcW w:type="dxa" w:w="0"/>
          </w:tcPr>
          <w:p>
            <w:r>
              <w:t>“Complaint CM-2026-004 (received 2026-03-02) has no record of response or closure decision within the 5-working-day requirement of §7.9.2.”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7 What to Do After the Audit (report, correction, closure)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Stage</w:t>
            </w:r>
          </w:p>
        </w:tc>
        <w:tc>
          <w:tcPr>
            <w:tcW w:type="dxa" w:w="0"/>
          </w:tcPr>
          <w:p>
            <w:r>
              <w:t>Operation</w:t>
            </w:r>
          </w:p>
        </w:tc>
      </w:tr>
      <w:tr>
        <w:tc>
          <w:tcPr>
            <w:tcW w:type="dxa" w:w="0"/>
          </w:tcPr>
          <w:p>
            <w:r>
              <w:t>Report (FR-25)</w:t>
            </w:r>
          </w:p>
        </w:tc>
        <w:tc>
          <w:tcPr>
            <w:tcW w:type="dxa" w:w="0"/>
          </w:tcPr>
          <w:p>
            <w:r>
              <w:t>Team leader drafts within 10 working days; every finding cites IA-04 evidence; effectiveness judgement supported by IA-05 trend data.</w:t>
            </w:r>
          </w:p>
        </w:tc>
      </w:tr>
      <w:tr>
        <w:tc>
          <w:tcPr>
            <w:tcW w:type="dxa" w:w="0"/>
          </w:tcPr>
          <w:p>
            <w:r>
              <w:t>Corrective actions (FR-24 / §8.7)</w:t>
            </w:r>
          </w:p>
        </w:tc>
        <w:tc>
          <w:tcPr>
            <w:tcW w:type="dxa" w:w="0"/>
          </w:tcPr>
          <w:p>
            <w:r>
              <w:t>Immediate correction, then root-cause analysis (person/method/equipment/material/environment), then root-cause-targeted action; owner + deadline; update the risk register.</w:t>
            </w:r>
          </w:p>
        </w:tc>
      </w:tr>
      <w:tr>
        <w:tc>
          <w:tcPr>
            <w:tcW w:type="dxa" w:w="0"/>
          </w:tcPr>
          <w:p>
            <w:r>
              <w:t>Verification (IA-06)</w:t>
            </w:r>
          </w:p>
        </w:tc>
        <w:tc>
          <w:tcPr>
            <w:tcW w:type="dxa" w:w="0"/>
          </w:tcPr>
          <w:p>
            <w:r>
              <w:t>Verify effectiveness with sample re-checks and non-recurrence over the following period; close or return per the escalation rules in IA-06 §3.</w:t>
            </w:r>
          </w:p>
        </w:tc>
      </w:tr>
      <w:tr>
        <w:tc>
          <w:tcPr>
            <w:tcW w:type="dxa" w:w="0"/>
          </w:tcPr>
          <w:p>
            <w:r>
              <w:t>Feed forward (IA-05 → management review)</w:t>
            </w:r>
          </w:p>
        </w:tc>
        <w:tc>
          <w:tcPr>
            <w:tcW w:type="dxa" w:w="0"/>
          </w:tcPr>
          <w:p>
            <w:r>
              <w:t>Consolidate distribution and trend; submit as management review input e) and as evidence for next year's audit programme (IA-01).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Common traps:</w:t>
      </w:r>
      <w:r>
        <w:t xml:space="preserve"> ① copying the standard into the checklist instead of turning it into actions; ② auditing only documents, never on-site work; ③ grading every finding as minor to avoid conflict; ④ writing findings about people instead of systems; ⑤ accepting “we'll improve” as a correction instead of verified evidence of change.</w:t>
        <w:t xml:space="preserve"> </w:t>
        <w:t>IA-WI-01 Internal Audit Work Instruction · LabKitPro Internal Audit Complete Pack (English Version v1.0)</w:t>
        <w:br/>
        <w:t>Prepared in accordance with ISO/IEC 17025:2017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