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IA-01 Annual Internal Audit Plan | LabKitPro Internal Audit Pack :root{--ink:#10202e;--ink2:#38505f;--muted:#5d7180;--bg:#f6f8fa;--card:#fff;--line:#dde5eb;--brand:#0f2f4a;--accent:#0e8f7d;--accent2:#1b6ea8}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h3{font-size:16px;font-weight:700;color:var(--ink2);margin:20px 0 8px} table{width:100%;border-collapse:collapse;margin:10px 0 6px;font-size:13px;table-layout:fixed} th{background:#eef3f7;color:var(--ink2);font-weight:700;text-align:left;padding:8px 8px;border:1px solid var(--line)} td{padding:8px;border:1px solid var(--line);vertical-align:top} tbody tr:nth-child(even){background:#fafcfd} .fill{background:#fff} .fill tbody td{min-height:26px}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.mrow{display:flex;flex-wrap:wrap;gap:4px 30px;font-size:13.5px;background:var(--card);border:1px solid var(--line);border-radius:12px;padding:14px 22px;margin:0 0 24px} .mrow div{padding:2px 0} .mrow span{color:var(--muted)} .ph{color:#98a8b6} @media(max-width:760px){h1{font-size:22px}table{font-size:12px;min-width:560px}th,td{padding:5px}.wrap{padding:0 14px 60px}.mrow{overflow-x:auto}} LabKitPro · Level-D Record Form (FR) · Audit Planning Annual Internal Audit Plan</w:t>
      </w:r>
    </w:p>
    <w:p>
      <w:pPr>
        <w:pStyle w:val="Heading1"/>
      </w:pPr>
    </w:p>
    <w:p>
      <w:r>
        <w:t>The vehicle for the annual audit programme, addressing ISO/IEC 17025:2017 §8.8.2 a) “plan, establish, implement and maintain an audit programme”. Risk-based, block-rolling, full-element coverage.</w:t>
        <w:t xml:space="preserve"> </w:t>
        <w:t>Form No. IA-01</w:t>
        <w:t xml:space="preserve"> </w:t>
        <w:t>Version V1.0</w:t>
        <w:t xml:space="preserve"> </w:t>
        <w:t>Supports LP-02 §5.1</w:t>
        <w:t xml:space="preserve"> </w:t>
        <w:t>Annual · Approved by top management</w:t>
        <w:t xml:space="preserve"> </w:t>
        <w:t>Plan year:</w:t>
      </w:r>
      <w:r>
        <w:rPr>
          <w:b/>
        </w:rPr>
        <w:t>[20XX]</w:t>
      </w:r>
      <w:r>
        <w:t xml:space="preserve"> </w:t>
        <w:t>Prepared by:</w:t>
      </w:r>
      <w:r>
        <w:rPr>
          <w:b/>
        </w:rPr>
        <w:t>[Quality Manager]</w:t>
      </w:r>
      <w:r>
        <w:t xml:space="preserve"> ([YYYY-MM-DD])</w:t>
        <w:t xml:space="preserve"> </w:t>
        <w:t>Approved by:</w:t>
      </w:r>
      <w:r>
        <w:rPr>
          <w:b/>
        </w:rPr>
        <w:t>[Laboratory Director]</w:t>
      </w:r>
      <w:r>
        <w:t xml:space="preserve"> ([YYYY-MM-DD])</w:t>
        <w:t xml:space="preserve"> </w:t>
        <w:t>Issue date:</w:t>
      </w:r>
      <w:r>
        <w:rPr>
          <w:b/>
        </w:rPr>
        <w:t>[YYYY-MM-DD]</w:t>
      </w:r>
      <w:r>
        <w:t xml:space="preserve"> 1 Planning Inputs</w:t>
      </w:r>
    </w:p>
    <w:p>
      <w:pPr>
        <w:pStyle w:val="Heading2"/>
      </w:pPr>
    </w:p>
    <w:p>
      <w:r>
        <w:t>This programme is prepared on the basis of the following inputs (tick each as confirmed): □ Previous year's audit results and nonconformity statistics □ Changes to the accredited scope (additions/reductions) □ Complaints and nonconforming work trends □ Customer feedback and external assessment findings □ Risk and opportunity register (§8.5) □ Previous year's management review outputs □ Major changes to personnel/equipment/premises.</w:t>
        <w:br/>
        <w:t>Other inputs: [specify]</w:t>
      </w:r>
    </w:p>
    <w:p>
      <w:pPr>
        <w:pStyle w:val="Heading2"/>
      </w:pPr>
      <w:r>
        <w:t>2 Annual Audit Schedule (example prefilled — replace when in use)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Batch</w:t>
            </w:r>
          </w:p>
        </w:tc>
        <w:tc>
          <w:tcPr>
            <w:tcW w:type="dxa" w:w="0"/>
          </w:tcPr>
          <w:p>
            <w:r>
              <w:t>Scheduled month</w:t>
            </w:r>
          </w:p>
        </w:tc>
        <w:tc>
          <w:tcPr>
            <w:tcW w:type="dxa" w:w="0"/>
          </w:tcPr>
          <w:p>
            <w:r>
              <w:t>Scope of audit (clauses)</w:t>
            </w:r>
          </w:p>
        </w:tc>
        <w:tc>
          <w:tcPr>
            <w:tcW w:type="dxa" w:w="0"/>
          </w:tcPr>
          <w:p>
            <w:r>
              <w:t>Departments audited</w:t>
            </w:r>
          </w:p>
        </w:tc>
        <w:tc>
          <w:tcPr>
            <w:tcW w:type="dxa" w:w="0"/>
          </w:tcPr>
          <w:p>
            <w:r>
              <w:t>Team leader</w:t>
            </w:r>
          </w:p>
        </w:tc>
        <w:tc>
          <w:tcPr>
            <w:tcW w:type="dxa" w:w="0"/>
          </w:tcPr>
          <w:p>
            <w:r>
              <w:t>Method</w:t>
            </w:r>
          </w:p>
        </w:tc>
      </w:tr>
      <w:tr>
        <w:tc>
          <w:tcPr>
            <w:tcW w:type="dxa" w:w="0"/>
          </w:tcPr>
          <w:p>
            <w:r>
              <w:t>Batch 1</w:t>
            </w:r>
          </w:p>
        </w:tc>
        <w:tc>
          <w:tcPr>
            <w:tcW w:type="dxa" w:w="0"/>
          </w:tcPr>
          <w:p>
            <w:r>
              <w:t>March</w:t>
            </w:r>
          </w:p>
        </w:tc>
        <w:tc>
          <w:tcPr>
            <w:tcW w:type="dxa" w:w="0"/>
          </w:tcPr>
          <w:p>
            <w:r>
              <w:t>Management block: §4.1 impartiality, §4.2 confidentiality, §5 structure, §8.2–§8.4 system documents/document control/record control</w:t>
            </w:r>
          </w:p>
        </w:tc>
        <w:tc>
          <w:tcPr>
            <w:tcW w:type="dxa" w:w="0"/>
          </w:tcPr>
          <w:p>
            <w:r>
              <w:t>Management, administration, archives</w:t>
            </w:r>
          </w:p>
        </w:tc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On-site + document review</w:t>
            </w:r>
          </w:p>
        </w:tc>
      </w:tr>
      <w:tr>
        <w:tc>
          <w:tcPr>
            <w:tcW w:type="dxa" w:w="0"/>
          </w:tcPr>
          <w:p>
            <w:r>
              <w:t>Batch 2</w:t>
            </w:r>
          </w:p>
        </w:tc>
        <w:tc>
          <w:tcPr>
            <w:tcW w:type="dxa" w:w="0"/>
          </w:tcPr>
          <w:p>
            <w:r>
              <w:t>May</w:t>
            </w:r>
          </w:p>
        </w:tc>
        <w:tc>
          <w:tcPr>
            <w:tcW w:type="dxa" w:w="0"/>
          </w:tcPr>
          <w:p>
            <w:r>
              <w:t>Resource block: §6.2 personnel, §6.3 facilities and environment, §6.4 equipment, §6.5 metrological traceability, §6.6 externally provided products and services</w:t>
            </w:r>
          </w:p>
        </w:tc>
        <w:tc>
          <w:tcPr>
            <w:tcW w:type="dxa" w:w="0"/>
          </w:tcPr>
          <w:p>
            <w:r>
              <w:t>Testing sections, equipment management</w:t>
            </w:r>
          </w:p>
        </w:tc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On-site + record sampling</w:t>
            </w:r>
          </w:p>
        </w:tc>
      </w:tr>
      <w:tr>
        <w:tc>
          <w:tcPr>
            <w:tcW w:type="dxa" w:w="0"/>
          </w:tcPr>
          <w:p>
            <w:r>
              <w:t>Batch 3</w:t>
            </w:r>
          </w:p>
        </w:tc>
        <w:tc>
          <w:tcPr>
            <w:tcW w:type="dxa" w:w="0"/>
          </w:tcPr>
          <w:p>
            <w:r>
              <w:t>August</w:t>
            </w:r>
          </w:p>
        </w:tc>
        <w:tc>
          <w:tcPr>
            <w:tcW w:type="dxa" w:w="0"/>
          </w:tcPr>
          <w:p>
            <w:r>
              <w:t>Process block (part 1): §7.1 review of requests, tenders and contracts, §7.2 method selection, §7.3 sampling, §7.4 handling of test items, §7.5 technical records</w:t>
            </w:r>
          </w:p>
        </w:tc>
        <w:tc>
          <w:tcPr>
            <w:tcW w:type="dxa" w:w="0"/>
          </w:tcPr>
          <w:p>
            <w:r>
              <w:t>Sample reception, sampling team, testing sections</w:t>
            </w:r>
          </w:p>
        </w:tc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On-site + process tracing</w:t>
            </w:r>
          </w:p>
        </w:tc>
      </w:tr>
      <w:tr>
        <w:tc>
          <w:tcPr>
            <w:tcW w:type="dxa" w:w="0"/>
          </w:tcPr>
          <w:p>
            <w:r>
              <w:t>Batch 4</w:t>
            </w:r>
          </w:p>
        </w:tc>
        <w:tc>
          <w:tcPr>
            <w:tcW w:type="dxa" w:w="0"/>
          </w:tcPr>
          <w:p>
            <w:r>
              <w:t>October</w:t>
            </w:r>
          </w:p>
        </w:tc>
        <w:tc>
          <w:tcPr>
            <w:tcW w:type="dxa" w:w="0"/>
          </w:tcPr>
          <w:p>
            <w:r>
              <w:t>Process block (part 2) + management: §7.6 measurement uncertainty, §7.7 validity of results, §7.8 reporting, §7.9 complaints, §7.10 nonconforming work, §7.11 data control, §8.5–§8.9 risk/improvement/corrective action/internal audit/management review</w:t>
            </w:r>
          </w:p>
        </w:tc>
        <w:tc>
          <w:tcPr>
            <w:tcW w:type="dxa" w:w="0"/>
          </w:tcPr>
          <w:p>
            <w:r>
              <w:t>Testing sections, quality department, IT</w:t>
            </w:r>
          </w:p>
        </w:tc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On-site + record sampling</w:t>
            </w:r>
          </w:p>
        </w:tc>
      </w:tr>
      <w:tr>
        <w:tc>
          <w:tcPr>
            <w:tcW w:type="dxa" w:w="0"/>
          </w:tcPr>
          <w:p>
            <w:r>
              <w:t>Special window</w:t>
            </w:r>
          </w:p>
        </w:tc>
        <w:tc>
          <w:tcPr>
            <w:tcW w:type="dxa" w:w="0"/>
          </w:tcPr>
          <w:p>
            <w:r>
              <w:t>Flexible</w:t>
            </w:r>
          </w:p>
        </w:tc>
        <w:tc>
          <w:tcPr>
            <w:tcW w:type="dxa" w:w="0"/>
          </w:tcPr>
          <w:p>
            <w:r>
              <w:t>Pre-assessment before external audit / major complaint trace / verification before deploying new methods (trigger conditions per LP-02 §5.1.3)</w:t>
            </w:r>
          </w:p>
        </w:tc>
        <w:tc>
          <w:tcPr>
            <w:tcW w:type="dxa" w:w="0"/>
          </w:tcPr>
          <w:p>
            <w:r>
              <w:t>As needed</w:t>
            </w:r>
          </w:p>
        </w:tc>
        <w:tc>
          <w:tcPr>
            <w:tcW w:type="dxa" w:w="0"/>
          </w:tcPr>
          <w:p>
            <w:r>
              <w:t>As needed</w:t>
            </w:r>
          </w:p>
        </w:tc>
        <w:tc>
          <w:tcPr>
            <w:tcW w:type="dxa" w:w="0"/>
          </w:tcPr>
          <w:p>
            <w:r>
              <w:t>As needed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Frequency requirements:</w:t>
      </w:r>
      <w:r>
        <w:t xml:space="preserve"> Every system element (§4.1–§8.9) shall be covered at least once a year; high-risk areas (reporting §7.8, data control §7.11, equipment §6.4, method validation §7.2) should be audited every six months — this can be achieved by repeating coverage in Batches 2 and 4. Locations outside the fixed facility (customer sites, mobile facilities) shall be covered at least once a year. 3 Risk Grading and Frequency Basis (worked example)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Activity area</w:t>
            </w:r>
          </w:p>
        </w:tc>
        <w:tc>
          <w:tcPr>
            <w:tcW w:type="dxa" w:w="0"/>
          </w:tcPr>
          <w:p>
            <w:r>
              <w:t>Risk level</w:t>
            </w:r>
          </w:p>
        </w:tc>
        <w:tc>
          <w:tcPr>
            <w:tcW w:type="dxa" w:w="0"/>
          </w:tcPr>
          <w:p>
            <w:r>
              <w:t>Basis for grading and frequency arrangement</w:t>
            </w:r>
          </w:p>
        </w:tc>
      </w:tr>
      <w:tr>
        <w:tc>
          <w:tcPr>
            <w:tcW w:type="dxa" w:w="0"/>
          </w:tcPr>
          <w:p>
            <w:r>
              <w:t>Reporting and authorised sign-off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Directly faces customers and accreditation assessment; an observation on missing report information was raised in 2025. Audit every six months (covered in both Batches 2 and 4)</w:t>
            </w:r>
          </w:p>
        </w:tc>
      </w:tr>
      <w:tr>
        <w:tc>
          <w:tcPr>
            <w:tcW w:type="dxa" w:w="0"/>
          </w:tcPr>
          <w:p>
            <w:r>
              <w:t>Data control and information management (LIMS)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LIMS upgraded this year; data integrity risk is high. Audit every six months</w:t>
            </w:r>
          </w:p>
        </w:tc>
      </w:tr>
      <w:tr>
        <w:tc>
          <w:tcPr>
            <w:tcW w:type="dxa" w:w="0"/>
          </w:tcPr>
          <w:p>
            <w:r>
              <w:t>Equipment and metrological traceability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Three large instruments added; calibration result confirmation is a weak link. Audit every six months</w:t>
            </w:r>
          </w:p>
        </w:tc>
      </w:tr>
      <w:tr>
        <w:tc>
          <w:tcPr>
            <w:tcW w:type="dxa" w:w="0"/>
          </w:tcPr>
          <w:p>
            <w:r>
              <w:t>Method validation and verification</w:t>
            </w:r>
          </w:p>
        </w:tc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Two new methods added to scope this year. Every six months + ad-hoc verification</w:t>
            </w:r>
          </w:p>
        </w:tc>
      </w:tr>
      <w:tr>
        <w:tc>
          <w:tcPr>
            <w:tcW w:type="dxa" w:w="0"/>
          </w:tcPr>
          <w:p>
            <w:r>
              <w:t>Personnel and training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Two new employees joined. Once a year + targeted sampling 3 months after new staff go on station</w:t>
            </w:r>
          </w:p>
        </w:tc>
      </w:tr>
      <w:tr>
        <w:tc>
          <w:tcPr>
            <w:tcW w:type="dxa" w:w="0"/>
          </w:tcPr>
          <w:p>
            <w:r>
              <w:t>Impartiality and confidentiality</w:t>
            </w:r>
          </w:p>
        </w:tc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System operating steadily. Once a year (Batch 1)</w:t>
            </w:r>
          </w:p>
        </w:tc>
      </w:tr>
      <w:tr>
        <w:tc>
          <w:tcPr>
            <w:tcW w:type="dxa" w:w="0"/>
          </w:tcPr>
          <w:p>
            <w:r>
              <w:t>[Remaining areas…]</w:t>
            </w:r>
          </w:p>
        </w:tc>
        <w:tc>
          <w:tcPr>
            <w:tcW w:type="dxa" w:w="0"/>
          </w:tcPr>
          <w:p>
            <w:r>
              <w:t>[Medium/Low]</w:t>
            </w:r>
          </w:p>
        </w:tc>
        <w:tc>
          <w:tcPr>
            <w:tcW w:type="dxa" w:w="0"/>
          </w:tcPr>
          <w:p>
            <w:r>
              <w:t>[Basis… once a year]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Audit Resource Allocation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Auditor</w:t>
            </w:r>
          </w:p>
        </w:tc>
        <w:tc>
          <w:tcPr>
            <w:tcW w:type="dxa" w:w="0"/>
          </w:tcPr>
          <w:p>
            <w:r>
              <w:t>Audit areas assignable</w:t>
            </w:r>
          </w:p>
        </w:tc>
        <w:tc>
          <w:tcPr>
            <w:tcW w:type="dxa" w:w="0"/>
          </w:tcPr>
          <w:p>
            <w:r>
              <w:t>Independence confirmation (must not audit their own work)</w:t>
            </w:r>
          </w:p>
        </w:tc>
      </w:tr>
      <w:tr>
        <w:tc>
          <w:tcPr>
            <w:tcW w:type="dxa" w:w="0"/>
          </w:tcPr>
          <w:p>
            <w:r>
              <w:t>[Name] (team leader)</w:t>
            </w:r>
          </w:p>
        </w:tc>
        <w:tc>
          <w:tcPr>
            <w:tcW w:type="dxa" w:w="0"/>
          </w:tcPr>
          <w:p>
            <w:r>
              <w:t>Management system §4/§5/§8, reporting §7.8</w:t>
            </w:r>
          </w:p>
        </w:tc>
        <w:tc>
          <w:tcPr>
            <w:tcW w:type="dxa" w:w="0"/>
          </w:tcPr>
          <w:p>
            <w:r>
              <w:t>Recusal: quality-department records prepared by this person; confirmed [YYYY-MM-DD]</w:t>
            </w:r>
          </w:p>
        </w:tc>
      </w:tr>
      <w:tr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Resource elements §6.2–§6.6</w:t>
            </w:r>
          </w:p>
        </w:tc>
        <w:tc>
          <w:tcPr>
            <w:tcW w:type="dxa" w:w="0"/>
          </w:tcPr>
          <w:p>
            <w:r>
              <w:t>Recusal: equipment register area managed by this person; confirmed [YYYY-MM-DD]</w:t>
            </w:r>
          </w:p>
        </w:tc>
      </w:tr>
      <w:tr>
        <w:tc>
          <w:tcPr>
            <w:tcW w:type="dxa" w:w="0"/>
          </w:tcPr>
          <w:p>
            <w:r>
              <w:t>[Name]</w:t>
            </w:r>
          </w:p>
        </w:tc>
        <w:tc>
          <w:tcPr>
            <w:tcW w:type="dxa" w:w="0"/>
          </w:tcPr>
          <w:p>
            <w:r>
              <w:t>Process elements §7.1–§7.11</w:t>
            </w:r>
          </w:p>
        </w:tc>
        <w:tc>
          <w:tcPr>
            <w:tcW w:type="dxa" w:w="0"/>
          </w:tcPr>
          <w:p>
            <w:r>
              <w:t>Recusal: own testing section; confirmed [YYYY-MM-DD]</w:t>
            </w:r>
          </w:p>
        </w:tc>
      </w:tr>
      <w:tr>
        <w:tc>
          <w:tcPr>
            <w:tcW w:type="dxa" w:w="0"/>
          </w:tcPr>
          <w:p>
            <w:r>
              <w:t>[External auditor] (if needed)</w:t>
            </w:r>
          </w:p>
        </w:tc>
        <w:tc>
          <w:tcPr>
            <w:tcW w:type="dxa" w:w="0"/>
          </w:tcPr>
          <w:p>
            <w:r>
              <w:t>[Areas]</w:t>
            </w:r>
          </w:p>
        </w:tc>
        <w:tc>
          <w:tcPr>
            <w:tcW w:type="dxa" w:w="0"/>
          </w:tcPr>
          <w:p>
            <w:r>
              <w:t>Independence and confidentiality undertaking signed; see LP-02 §5.3.1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Reporting and Record Requirements</w:t>
      </w:r>
    </w:p>
    <w:p>
      <w:pPr>
        <w:pStyle w:val="Heading2"/>
      </w:pPr>
    </w:p>
    <w:p>
      <w:r>
        <w:t>Each audit is executed per LP-02: report issued within 10 working days of the audit (FR-25); correction evidence submitted within 15 working days of the nonconformity; year-end closure consolidated by 30 November (IA-05, IA-06) as management review input (§8.9.2 e)).</w:t>
      </w:r>
    </w:p>
    <w:p>
      <w:pPr>
        <w:pStyle w:val="Heading2"/>
      </w:pPr>
      <w:r>
        <w:t>6 Programme 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Change and reason (trigger situations per LP-02 §5.1.3)</w:t>
            </w:r>
          </w:p>
        </w:tc>
        <w:tc>
          <w:tcPr>
            <w:tcW w:type="dxa" w:w="0"/>
          </w:tcPr>
          <w:p>
            <w:r>
              <w:t>Revised arrangement</w:t>
            </w:r>
          </w:p>
        </w:tc>
        <w:tc>
          <w:tcPr>
            <w:tcW w:type="dxa" w:w="0"/>
          </w:tcPr>
          <w:p>
            <w:r>
              <w:t>Approved by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>IA-01 Annual Internal Audit Plan · LabKitPro Internal Audit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