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FR-24 Nonconformity Report | LabKitPro Internal Audit Pack :root{--ink:#10202e;--ink2:#38505f;--muted:#5d7180;--bg:#f6f8fa;--card:#fff;--line:#dde5eb;--brand:#0f2f4a;--accent:#0e8f7d;--accent2:#1b6ea8;--warn:#a35b1a;--bad:#b23b3b} *{box-sizing:border-box;margin:0;padding:0} body{font-family:"Inter","Segoe UI","Helvetica Neue",-apple-system,sans-serif;background:var(--bg);color:var(--ink);line-height:1.8;font-size:15px} .wrap{max-width:1080px;margin:0 auto;padding:0 24px 80px} header.hero{background:linear-gradient(135deg,#0f2f4a 0%,#16456b 60%,#1b6ea8 100%);color:#fff;padding:44px 24px 34px;margin-bottom:28px} .hero-inner{max-width:1080px;margin:0 auto} .kicker{font-size:13px;letter-spacing:2px;color:#8fd8cb;text-transform:uppercase;margin-bottom:10px} h1{font-size:28px;font-weight:800;margin-bottom:10px} .sub{font-size:14.5px;color:#cfe0ec;max-width:820px} .badge-row{margin-top:16px;display:flex;flex-wrap:wrap;gap:8px} .badge{font-size:12px;padding:4px 12px;border-radius:999px;background:rgba(255,255,255,.12);border:1px solid rgba(255,255,255,.25);color:#e8f2fa} h2{font-size:20px;font-weight:800;color:var(--brand);margin:36px 0 8px;padding-top:8px;border-top:2px solid #e3ecf2} table{width:100%;border-collapse:collapse;margin:10px 0 6px;font-size:13px;table-layout:fixed} th{background:#eef3f7;color:var(--ink2);font-weight:700;text-align:left;padding:8px;border:1px solid var(--line)} td{padding:8px;border:1px solid var(--line);vertical-align:top} .fill tbody td{background:#fff} .note{background:#fff8ec;border:1px solid #f0d9b8;border-radius:10px;padding:12px 16px;font-size:13px;color:#6b5320;margin:14px 0} .note b{color:#a35b1a} .bad{background:#fdeaea;border:1px solid #ecc8c8;border-radius:8px;padding:10px 14px;font-size:13px;color:#7a2830;margin:8px 0} .good{background:#e7f4f1;border:1px solid #bfe3da;border-radius:8px;padding:10px 14px;font-size:13px;color:#1d5a50;margin:8px 0} .foot{margin-top:48px;padding-top:18px;border-top:1px solid var(--line);color:var(--muted);font-size:12.5px;text-align:center} .ph{color:#98a8b6} @media(max-width:760px){h1{font-size:22px}table{font-size:12px;min-width:560px}th,td{padding:5px}.wrap{padding:0 14px 60px}} LabKitPro · Level-D Record Form (FR) · Issue &amp; Correction Nonconformity Report</w:t>
      </w:r>
    </w:p>
    <w:p>
      <w:pPr>
        <w:pStyle w:val="Heading1"/>
      </w:pPr>
    </w:p>
    <w:p>
      <w:r>
        <w:t>Raised by the auditor at the audit site, facts confirmed with the auditee, graded for severity, and taken through to corrective action and verification. This is the single source of truth for every audit finding. Form No. FR-24 Version V1.0 Supports LP-02 §5.5 / §8.7 Website library FR-24 (same source) 1 Nonconformity Record</w:t>
      </w:r>
    </w:p>
    <w:p>
      <w:pPr>
        <w:pStyle w:val="Heading2"/>
      </w:pPr>
    </w:p>
    <w:tbl>
      <w:tblPr>
        <w:tblW w:type="auto" w:w="0"/>
        <w:tblLook w:firstColumn="1" w:firstRow="1" w:lastColumn="0" w:lastRow="0" w:noHBand="0" w:noVBand="1" w:val="04A0"/>
      </w:tblPr>
      <w:tblGrid>
        <w:gridCol w:w="4320"/>
        <w:gridCol w:w="4320"/>
      </w:tblGrid>
      <w:tr>
        <w:tc>
          <w:tcPr>
            <w:tcW w:type="dxa" w:w="0"/>
          </w:tcPr>
          <w:p>
            <w:r>
              <w:t>NC No.</w:t>
            </w:r>
          </w:p>
        </w:tc>
        <w:tc>
          <w:tcPr>
            <w:tcW w:type="dxa" w:w="0"/>
          </w:tcPr>
          <w:p>
            <w:r>
              <w:t>NC-</w:t>
              <w:t>[YYYY]</w:t>
              <w:t>-</w:t>
              <w:t>[seq]</w:t>
            </w:r>
          </w:p>
        </w:tc>
      </w:tr>
      <w:tr>
        <w:tc>
          <w:tcPr>
            <w:tcW w:type="dxa" w:w="0"/>
          </w:tcPr>
          <w:p>
            <w:r>
              <w:t>Audit batch</w:t>
            </w:r>
          </w:p>
        </w:tc>
        <w:tc>
          <w:tcPr>
            <w:tcW w:type="dxa" w:w="0"/>
          </w:tcPr>
          <w:p>
            <w:r>
              <w:t>[20XX, Batch No. X]</w:t>
            </w:r>
          </w:p>
        </w:tc>
      </w:tr>
      <w:tr>
        <w:tc>
          <w:tcPr>
            <w:tcW w:type="dxa" w:w="0"/>
          </w:tcPr>
          <w:p>
            <w:r>
              <w:t>Auditor / audited department</w:t>
            </w:r>
          </w:p>
        </w:tc>
        <w:tc>
          <w:tcPr>
            <w:tcW w:type="dxa" w:w="0"/>
          </w:tcPr>
          <w:p>
            <w:r>
              <w:t>[Name] / [Department]</w:t>
            </w:r>
          </w:p>
        </w:tc>
      </w:tr>
      <w:tr>
        <w:tc>
          <w:tcPr>
            <w:tcW w:type="dxa" w:w="0"/>
          </w:tcPr>
          <w:p>
            <w:r>
              <w:t>Clause nonconforming</w:t>
            </w:r>
          </w:p>
        </w:tc>
        <w:tc>
          <w:tcPr>
            <w:tcW w:type="dxa" w:w="0"/>
          </w:tcPr>
          <w:p>
            <w:r>
              <w:t>ISO/IEC 17025:2017 §</w:t>
              <w:t>[e.g. 7.8.2]</w:t>
              <w:t xml:space="preserve"> (or </w:t>
              <w:t>[QM clause / procedure No.]</w:t>
              <w:t>)</w:t>
            </w:r>
          </w:p>
        </w:tc>
      </w:tr>
      <w:tr>
        <w:tc>
          <w:tcPr>
            <w:tcW w:type="dxa" w:w="0"/>
          </w:tcPr>
          <w:p>
            <w:r>
              <w:t>Severity grade</w:t>
            </w:r>
          </w:p>
        </w:tc>
        <w:tc>
          <w:tcPr>
            <w:tcW w:type="dxa" w:w="0"/>
          </w:tcPr>
          <w:p>
            <w:r>
              <w:t>□ Major □ Minor — grading basis: □ Major (absence/loss of a whole requirement, significant impact on result validity, recurring after correction) □ Minor (single occurrence, partial nonconformity, no direct impact on result validity)</w:t>
            </w:r>
          </w:p>
        </w:tc>
      </w:tr>
      <w:tr>
        <w:tc>
          <w:tcPr>
            <w:tcW w:type="dxa" w:w="0"/>
          </w:tcPr>
          <w:p>
            <w:r>
              <w:t>Facts of nonconformity (who, what, where, when, evidence)</w:t>
            </w:r>
          </w:p>
        </w:tc>
        <w:tc>
          <w:tcPr>
            <w:tcW w:type="dxa" w:w="0"/>
          </w:tcPr>
          <w:p>
            <w:r>
              <w:t>[Describe objectively with dates, locations, document/record numbers; no conclusions, no attributions to people]</w:t>
            </w:r>
          </w:p>
        </w:tc>
      </w:tr>
      <w:tr>
        <w:tc>
          <w:tcPr>
            <w:tcW w:type="dxa" w:w="0"/>
          </w:tcPr>
          <w:p>
            <w:r>
              <w:t>Auditee's confirmation of facts</w:t>
            </w:r>
          </w:p>
        </w:tc>
        <w:tc>
          <w:tcPr>
            <w:tcW w:type="dxa" w:w="0"/>
          </w:tcPr>
          <w:p>
            <w:r>
              <w:t xml:space="preserve">□ Facts confirmed — signature/date: </w:t>
              <w:t>[ ]</w:t>
              <w:br/>
              <w:t xml:space="preserve">□ Facts not fully confirmed — points of disagreement: </w:t>
              <w:t>[ ]</w:t>
            </w:r>
          </w:p>
        </w:tc>
      </w:tr>
    </w:tbl>
    <w:p>
      <w:r>
        <w:t xml:space="preserve"> </w:t>
      </w:r>
    </w:p>
    <w:p>
      <w:r>
        <w:t xml:space="preserve"> </w:t>
      </w:r>
    </w:p>
    <w:p>
      <w:r>
        <w:t xml:space="preserve"> </w:t>
      </w:r>
    </w:p>
    <w:p>
      <w:r>
        <w:t xml:space="preserve"> </w:t>
      </w:r>
    </w:p>
    <w:p>
      <w:r>
        <w:t xml:space="preserve"> </w:t>
      </w:r>
    </w:p>
    <w:p>
      <w:r>
        <w:t xml:space="preserve"> </w:t>
      </w:r>
    </w:p>
    <w:p>
      <w:r>
        <w:t xml:space="preserve"> 2 Root-Cause Analysis (per §8.7 b))</w:t>
      </w:r>
    </w:p>
    <w:p>
      <w:pPr>
        <w:pStyle w:val="Heading2"/>
      </w:pPr>
    </w:p>
    <w:p>
      <w:r>
        <w:rPr>
          <w:b/>
        </w:rPr>
        <w:t>Poor examples (too shallow):</w:t>
      </w:r>
      <w:r>
        <w:t xml:space="preserve"> “carelessness” / “staff negligence” / “tight deadline” / “insufficient training”. These cannot generate an effective corrective action.</w:t>
      </w:r>
    </w:p>
    <w:p>
      <w:r>
        <w:rPr>
          <w:b/>
        </w:rPr>
        <w:t>Good examples (trace to the underlying cause):</w:t>
      </w:r>
      <w:r>
        <w:t xml:space="preserve"> “the two operators were never shown how to read the new-style calibration certificate, and there is no check step between certificate filing and equipment release” (a process gap, not a person problem).</w:t>
      </w:r>
    </w:p>
    <w:tbl>
      <w:tblPr>
        <w:tblW w:type="auto" w:w="0"/>
        <w:tblLook w:firstColumn="1" w:firstRow="1" w:lastColumn="0" w:lastRow="0" w:noHBand="0" w:noVBand="1" w:val="04A0"/>
      </w:tblPr>
      <w:tblGrid>
        <w:gridCol w:w="8640"/>
      </w:tblGrid>
      <w:tr>
        <w:tc>
          <w:tcPr>
            <w:tcW w:type="dxa" w:w="0"/>
          </w:tcPr>
          <w:p>
            <w:r>
              <w:t>Root-cause analysis (person / method / equipment / material / environment, state the depth of analysis)</w:t>
            </w:r>
          </w:p>
        </w:tc>
      </w:tr>
      <w:tr>
        <w:tc>
          <w:tcPr>
            <w:tcW w:type="dxa" w:w="0"/>
          </w:tcPr>
          <w:p>
            <w:r>
              <w:t>[ ]</w:t>
            </w:r>
          </w:p>
        </w:tc>
      </w:tr>
    </w:tbl>
    <w:p>
      <w:r>
        <w:t xml:space="preserve"> </w:t>
      </w:r>
    </w:p>
    <w:p>
      <w:r>
        <w:t xml:space="preserve"> 3 Correction and Corrective Action (per §8.7 a) and c))</w:t>
      </w:r>
    </w:p>
    <w:p>
      <w:pPr>
        <w:pStyle w:val="Heading2"/>
      </w:pPr>
    </w:p>
    <w:tbl>
      <w:tblPr>
        <w:tblW w:type="auto" w:w="0"/>
        <w:tblLook w:firstColumn="1" w:firstRow="1" w:lastColumn="0" w:lastRow="0" w:noHBand="0" w:noVBand="1" w:val="04A0"/>
      </w:tblPr>
      <w:tblGrid>
        <w:gridCol w:w="4320"/>
        <w:gridCol w:w="4320"/>
      </w:tblGrid>
      <w:tr>
        <w:tc>
          <w:tcPr>
            <w:tcW w:type="dxa" w:w="0"/>
          </w:tcPr>
          <w:p>
            <w:r>
              <w:t>Immediate correction</w:t>
            </w:r>
          </w:p>
        </w:tc>
        <w:tc>
          <w:tcPr>
            <w:tcW w:type="dxa" w:w="0"/>
          </w:tcPr>
          <w:p>
            <w:r>
              <w:t>[What was fixed on the spot, e.g. stop the affected activity, correct the record, withdraw the report]</w:t>
            </w:r>
          </w:p>
        </w:tc>
      </w:tr>
      <w:tr>
        <w:tc>
          <w:tcPr>
            <w:tcW w:type="dxa" w:w="0"/>
          </w:tcPr>
          <w:p>
            <w:r>
              <w:t>Corrective action (root-cause targeted)</w:t>
            </w:r>
          </w:p>
        </w:tc>
        <w:tc>
          <w:tcPr>
            <w:tcW w:type="dxa" w:w="0"/>
          </w:tcPr>
          <w:p>
            <w:r>
              <w:t>[e.g. revise the certificate-confirmation step in the equipment management procedure, add a sign-off]</w:t>
            </w:r>
          </w:p>
        </w:tc>
      </w:tr>
      <w:tr>
        <w:tc>
          <w:tcPr>
            <w:tcW w:type="dxa" w:w="0"/>
          </w:tcPr>
          <w:p>
            <w:r>
              <w:t>Owner / completion date</w:t>
            </w:r>
          </w:p>
        </w:tc>
        <w:tc>
          <w:tcPr>
            <w:tcW w:type="dxa" w:w="0"/>
          </w:tcPr>
          <w:p>
            <w:r>
              <w:t>[ ] / [YYYY-MM-DD]</w:t>
            </w:r>
          </w:p>
        </w:tc>
      </w:tr>
      <w:tr>
        <w:tc>
          <w:tcPr>
            <w:tcW w:type="dxa" w:w="0"/>
          </w:tcPr>
          <w:p>
            <w:r>
              <w:t>Risk register update (§8.5)</w:t>
            </w:r>
          </w:p>
        </w:tc>
        <w:tc>
          <w:tcPr>
            <w:tcW w:type="dxa" w:w="0"/>
          </w:tcPr>
          <w:p>
            <w:r>
              <w:t>□ Updated □ Not applicable</w:t>
            </w:r>
          </w:p>
        </w:tc>
      </w:tr>
      <w:tr>
        <w:tc>
          <w:tcPr>
            <w:tcW w:type="dxa" w:w="0"/>
          </w:tcPr>
          <w:p>
            <w:r>
              <w:t>Impact on issued results assessed (§7.10)</w:t>
            </w:r>
          </w:p>
        </w:tc>
        <w:tc>
          <w:tcPr>
            <w:tcW w:type="dxa" w:w="0"/>
          </w:tcPr>
          <w:p>
            <w:r>
              <w:t xml:space="preserve">□ None □ Assessment record No.: </w:t>
              <w:t>[ ]</w:t>
            </w:r>
          </w:p>
        </w:tc>
      </w:tr>
    </w:tbl>
    <w:p>
      <w:r>
        <w:t xml:space="preserve"> </w:t>
      </w:r>
    </w:p>
    <w:p>
      <w:r>
        <w:t xml:space="preserve"> </w:t>
      </w:r>
    </w:p>
    <w:p>
      <w:r>
        <w:t xml:space="preserve"> </w:t>
      </w:r>
    </w:p>
    <w:p>
      <w:r>
        <w:t xml:space="preserve"> </w:t>
      </w:r>
    </w:p>
    <w:p>
      <w:r>
        <w:t xml:space="preserve"> 4 Verification and Closure (per §8.7 d))</w:t>
      </w:r>
    </w:p>
    <w:p>
      <w:pPr>
        <w:pStyle w:val="Heading2"/>
      </w:pPr>
    </w:p>
    <w:tbl>
      <w:tblPr>
        <w:tblW w:type="auto" w:w="0"/>
        <w:tblLook w:firstColumn="1" w:firstRow="1" w:lastColumn="0" w:lastRow="0" w:noHBand="0" w:noVBand="1" w:val="04A0"/>
      </w:tblPr>
      <w:tblGrid>
        <w:gridCol w:w="4320"/>
        <w:gridCol w:w="4320"/>
      </w:tblGrid>
      <w:tr>
        <w:tc>
          <w:tcPr>
            <w:tcW w:type="dxa" w:w="0"/>
          </w:tcPr>
          <w:p>
            <w:r>
              <w:t>Effectiveness verification</w:t>
            </w:r>
          </w:p>
        </w:tc>
        <w:tc>
          <w:tcPr>
            <w:tcW w:type="dxa" w:w="0"/>
          </w:tcPr>
          <w:p>
            <w:r>
              <w:t xml:space="preserve">□ Sample checked (N = </w:t>
              <w:t>[ ]</w:t>
              <w:t xml:space="preserve">, all conforming) □ No recurrence in the following </w:t>
              <w:t>[ ]</w:t>
              <w:t xml:space="preserve"> months □ Root cause eliminated (basis: </w:t>
              <w:t>[ ]</w:t>
              <w:t>)</w:t>
            </w:r>
          </w:p>
        </w:tc>
      </w:tr>
      <w:tr>
        <w:tc>
          <w:tcPr>
            <w:tcW w:type="dxa" w:w="0"/>
          </w:tcPr>
          <w:p>
            <w:r>
              <w:t>Verification conclusion</w:t>
            </w:r>
          </w:p>
        </w:tc>
        <w:tc>
          <w:tcPr>
            <w:tcW w:type="dxa" w:w="0"/>
          </w:tcPr>
          <w:p>
            <w:r>
              <w:t xml:space="preserve">□ Effective — closed □ Not effective — returned (attempt No. </w:t>
              <w:t>[ ]</w:t>
              <w:t>)</w:t>
            </w:r>
          </w:p>
        </w:tc>
      </w:tr>
      <w:tr>
        <w:tc>
          <w:tcPr>
            <w:tcW w:type="dxa" w:w="0"/>
          </w:tcPr>
          <w:p>
            <w:r>
              <w:t>Verifier / date</w:t>
            </w:r>
          </w:p>
        </w:tc>
        <w:tc>
          <w:tcPr>
            <w:tcW w:type="dxa" w:w="0"/>
          </w:tcPr>
          <w:p>
            <w:r>
              <w:t>[Name] / [YYYY-MM-DD]</w:t>
            </w:r>
          </w:p>
        </w:tc>
      </w:tr>
    </w:tbl>
    <w:p>
      <w:r>
        <w:t xml:space="preserve"> </w:t>
      </w:r>
    </w:p>
    <w:p>
      <w:r>
        <w:t xml:space="preserve"> </w:t>
      </w:r>
    </w:p>
    <w:p>
      <w:r>
        <w:t xml:space="preserve"> 5 Good / Poor Wording Reference</w:t>
      </w:r>
    </w:p>
    <w:p>
      <w:pPr>
        <w:pStyle w:val="Heading2"/>
      </w:pPr>
    </w:p>
    <w:p>
      <w:r>
        <w:rPr>
          <w:b/>
        </w:rPr>
        <w:t>Poor fact statement:</w:t>
      </w:r>
      <w:r>
        <w:t xml:space="preserve"> “Section 7.8 not conforming, report quality problems” — no facts, cannot be disputed, cannot be corrected.</w:t>
      </w:r>
    </w:p>
    <w:p>
      <w:r>
        <w:rPr>
          <w:b/>
        </w:rPr>
        <w:t>Good fact statement:</w:t>
      </w:r>
      <w:r>
        <w:t xml:space="preserve"> “Report No. TR-2026-031, issued 2026-02-18, does not state the sampling location required by clause 7.8.3; the sampling record shows the site was A001, and the template revision TR-2025-02 in use also omits this field.” — reproducible, citable, fixable.</w:t>
      </w:r>
    </w:p>
    <w:p>
      <w:r>
        <w:rPr>
          <w:b/>
        </w:rPr>
        <w:t>Handling rules:</w:t>
      </w:r>
      <w:r>
        <w:t xml:space="preserve"> ① facts confirmed with the auditee on site, disagreement recorded verbatim; ② major NCs additionally assess the impact on previously issued results immediately (§7.10); ③ correction evidence due within 15 working days; verification closes the loop and feeds IA-06; ④ retain under record control no less than 6 years.</w:t>
        <w:t xml:space="preserve"> </w:t>
        <w:t>FR-24 Nonconformity Report · LabKitPro Internal Audit Complete Pack (English Version v1.0)</w:t>
        <w:br/>
        <w:t>Prepared in accordance with ISO/IEC 17025:2017 · Paid template for internal use by the purchasing laboratory only</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