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FR-24 内审不符合项报告（完善版） | LabKitPro 内审资料包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.bad{background:#fdeaea;border:1px solid #ecc8c8;border-radius:8px;padding:10px 14px;font-size:13px;color:#7a2830;margin:8px 0} .good{background:#e7f4f1;border:1px solid #bfe3da;border-radius:8px;padding:10px 14px;font-size:13px;color:#1d5a50;margin:8px 0} .foot{margin-top:48px;padding-top:18px;border-top:1px solid var(--line);color:var(--muted);font-size:12.5px;text-align:center} @media(max-width:760px){h1{font-size:22px}table{font-size:12px;min-width:520px}th,td{padding:5px}.wrap{padding:0 14px 60px}} LabKitPro · D 级记录表单（FR）· 对应官网库 FR-24 内审不符合项报告</w:t>
      </w:r>
    </w:p>
    <w:p>
      <w:pPr>
        <w:pStyle w:val="Heading1"/>
      </w:pPr>
    </w:p>
    <w:p>
      <w:r>
        <w:t>Audit Nonconformity Report —— 承载 §8.7 纠正措施全链条：不符合事实 → 原因分析 → 纠正与纠正措施 → 有效性验证。含分级标准与好/差描述对照。 文件编号 FR-24 版本 V1.0（完善版） 对应 §8.8.2 d) · §8.7.1 a)–f) 整改时限：15 个工作日 第一部分 表单正页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报告编号</w:t>
            </w:r>
          </w:p>
        </w:tc>
        <w:tc>
          <w:tcPr>
            <w:tcW w:type="dxa" w:w="0"/>
          </w:tcPr>
          <w:p>
            <w:r>
              <w:t>NC-[20XX]-[XXX]</w:t>
            </w:r>
          </w:p>
        </w:tc>
        <w:tc>
          <w:tcPr>
            <w:tcW w:type="dxa" w:w="0"/>
          </w:tcPr>
          <w:p>
            <w:r>
              <w:t>所属审核批次</w:t>
            </w:r>
          </w:p>
        </w:tc>
        <w:tc>
          <w:tcPr>
            <w:tcW w:type="dxa" w:w="0"/>
          </w:tcPr>
          <w:p>
            <w:r>
              <w:t>[20XX 年第 X 批]</w:t>
            </w:r>
          </w:p>
        </w:tc>
      </w:tr>
      <w:tr>
        <w:tc>
          <w:tcPr>
            <w:tcW w:type="dxa" w:w="0"/>
          </w:tcPr>
          <w:p>
            <w:r>
              <w:t>开具日期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  <w:tc>
          <w:tcPr>
            <w:tcW w:type="dxa" w:w="0"/>
          </w:tcPr>
          <w:p>
            <w:r>
              <w:t>开具人（审核员）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</w:tr>
      <w:tr>
        <w:tc>
          <w:tcPr>
            <w:tcW w:type="dxa" w:w="0"/>
          </w:tcPr>
          <w:p>
            <w:r>
              <w:t>责任部门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>
            <w:r>
              <w:t>责任部门负责人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</w:tr>
      <w:tr>
        <w:tc>
          <w:tcPr>
            <w:tcW w:type="dxa" w:w="0"/>
          </w:tcPr>
          <w:p>
            <w:r>
              <w:t>对应条款（ISO/IEC 17025:2017）</w:t>
            </w:r>
          </w:p>
        </w:tc>
        <w:tc>
          <w:tcPr>
            <w:tcW w:type="dxa" w:w="0"/>
          </w:tcPr>
          <w:p>
            <w:r>
              <w:t>[条款号，如 §6.4.7]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对应体系文件及条款</w:t>
            </w:r>
          </w:p>
        </w:tc>
        <w:tc>
          <w:tcPr>
            <w:tcW w:type="dxa" w:w="0"/>
          </w:tcPr>
          <w:p>
            <w:r>
              <w:t>[文件号 + 版本 + 条款，如《设备管理程序》V2.1 §5.3]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不符合级别</w:t>
            </w:r>
          </w:p>
        </w:tc>
        <w:tc>
          <w:tcPr>
            <w:tcW w:type="dxa" w:w="0"/>
          </w:tcPr>
          <w:p>
            <w:r>
              <w:t>□ 重大不符合 □ 一般不符合（判定标准见本文件第二部分）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 不符合事实描述（客观证据）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何时、何地、何人、抽查了什么（记录编号/数量）、发现了什么。</w:t>
              <w:br/>
              <w:t>要求：可验证——第三方拿同样证据能得出同样结论。</w:t>
              <w:t>[填写]</w:t>
            </w:r>
          </w:p>
        </w:tc>
      </w:tr>
      <w:tr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3"/>
      </w:pPr>
      <w:r>
        <w:t>2 受审核方事实确认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□ 事实确认无误</w:t>
              <w:br/>
              <w:t>□ 有异议，异议内容：</w:t>
              <w:t>[填写]</w:t>
              <w:t>（处理意见见末次会议记录）</w:t>
            </w:r>
          </w:p>
        </w:tc>
        <w:tc>
          <w:tcPr>
            <w:tcW w:type="dxa" w:w="0"/>
          </w:tcPr>
          <w:p>
            <w:r>
              <w:t>受审核方代表签字 / 日期</w:t>
            </w:r>
          </w:p>
        </w:tc>
      </w:tr>
    </w:tbl>
    <w:p>
      <w:r>
        <w:t xml:space="preserve"> 3 原因分析（责任部门填写，可采用 5Why / 鱼刺图）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原因类别（可多选）：□ 制度/文件缺陷 □ 培训不足 □ 资源不足 □ 沟通不畅 □ 执行偏差 □ 监督缺失 □ 其他：＿＿＿</w:t>
            </w:r>
          </w:p>
        </w:tc>
      </w:tr>
      <w:tr>
        <w:tc>
          <w:tcPr>
            <w:tcW w:type="dxa" w:w="0"/>
          </w:tcPr>
          <w:p>
            <w:r>
              <w:t>[根本原因分析：追问到管理层面的可改进原因，止步于「人员疏忽」视为分析不到位]</w:t>
            </w:r>
          </w:p>
        </w:tc>
      </w:tr>
    </w:tbl>
    <w:p>
      <w:r>
        <w:t xml:space="preserve"> </w:t>
      </w:r>
    </w:p>
    <w:p>
      <w:r>
        <w:t xml:space="preserve"> 4 纠正（消除本次不符合）与纠正措施（消除原因、防止再发生）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序号</w:t>
            </w:r>
          </w:p>
        </w:tc>
        <w:tc>
          <w:tcPr>
            <w:tcW w:type="dxa" w:w="0"/>
          </w:tcPr>
          <w:p>
            <w:r>
              <w:t>措施内容（纠正 / 纠正措施分别列明）</w:t>
            </w:r>
          </w:p>
        </w:tc>
        <w:tc>
          <w:tcPr>
            <w:tcW w:type="dxa" w:w="0"/>
          </w:tcPr>
          <w:p>
            <w:r>
              <w:t>责任人 / 完成时限</w:t>
            </w:r>
          </w:p>
        </w:tc>
        <w:tc>
          <w:tcPr>
            <w:tcW w:type="dxa" w:w="0"/>
          </w:tcPr>
          <w:p>
            <w:r>
              <w:t>完成标志（什么算做完）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重大不符合项附加确认（重大不符合必填）</w:t>
            </w:r>
          </w:p>
        </w:tc>
      </w:tr>
      <w:tr>
        <w:tc>
          <w:tcPr>
            <w:tcW w:type="dxa" w:w="0"/>
          </w:tcPr>
          <w:p>
            <w:r>
              <w:t>□ 已评估对既往已出具报告/结果的影响：□ 无影响 □ 有影响，处理方式：</w:t>
              <w:t>[追回/更正/通知客户，按 §7.10 执行并记录]</w:t>
              <w:br/>
              <w:t>□ 已排查类似问题在其他区域/过程是否存在：</w:t>
              <w:t>[排查范围与结论]</w:t>
              <w:t xml:space="preserve"> □ 已按需更新风险与机遇清单（§8.5.1 e）</w:t>
            </w:r>
          </w:p>
        </w:tc>
      </w:tr>
    </w:tbl>
    <w:p>
      <w:r>
        <w:t xml:space="preserve"> </w:t>
      </w:r>
    </w:p>
    <w:p>
      <w:r>
        <w:t xml:space="preserve"> 5 整改证据提交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对应措施序号</w:t>
            </w:r>
          </w:p>
        </w:tc>
        <w:tc>
          <w:tcPr>
            <w:tcW w:type="dxa" w:w="0"/>
          </w:tcPr>
          <w:p>
            <w:r>
              <w:t>证据名称（文件/记录/照片编号）</w:t>
            </w:r>
          </w:p>
        </w:tc>
        <w:tc>
          <w:tcPr>
            <w:tcW w:type="dxa" w:w="0"/>
          </w:tcPr>
          <w:p>
            <w:r>
              <w:t>提交人</w:t>
            </w:r>
          </w:p>
        </w:tc>
        <w:tc>
          <w:tcPr>
            <w:tcW w:type="dxa" w:w="0"/>
          </w:tcPr>
          <w:p>
            <w:r>
              <w:t>提交日期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3"/>
      </w:pPr>
      <w:r>
        <w:t>6 有效性验证与关闭（审核员填写）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验证方式：□ 复核修订后文件 □ 抽查整改后运行记录（数量：＿＿） □ 现场复验 □ 面谈确认</w:t>
            </w:r>
          </w:p>
        </w:tc>
      </w:tr>
      <w:tr>
        <w:tc>
          <w:tcPr>
            <w:tcW w:type="dxa" w:w="0"/>
          </w:tcPr>
          <w:p>
            <w:r>
              <w:t>验证结论（关注有效性而非完成度：措施是否针对根本原因、同类问题是否可能再发生）：</w:t>
              <w:t>[填写]</w:t>
              <w:br/>
              <w:t>□ 验证通过，予以关闭 □ 验证不通过，退回重新整改（第 __ 次）</w:t>
            </w:r>
          </w:p>
        </w:tc>
      </w:tr>
      <w:tr>
        <w:tc>
          <w:tcPr>
            <w:tcW w:type="dxa" w:w="0"/>
          </w:tcPr>
          <w:p>
            <w:r>
              <w:t>验证人（审核员）签字 / 日期：＿＿＿＿＿＿ 质量负责人确认 / 日期：＿＿＿＿＿＿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第二部分 填写指引</w:t>
      </w:r>
    </w:p>
    <w:p>
      <w:pPr>
        <w:pStyle w:val="Heading2"/>
      </w:pPr>
    </w:p>
    <w:p>
      <w:pPr>
        <w:pStyle w:val="Heading3"/>
      </w:pPr>
      <w:r>
        <w:t>不符合分级判定标准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级别</w:t>
            </w:r>
          </w:p>
        </w:tc>
        <w:tc>
          <w:tcPr>
            <w:tcW w:type="dxa" w:w="0"/>
          </w:tcPr>
          <w:p>
            <w:r>
              <w:t>判定标准（满足其一即判重大不符合）</w:t>
            </w:r>
          </w:p>
        </w:tc>
      </w:tr>
      <w:tr>
        <w:tc>
          <w:tcPr>
            <w:tcW w:type="dxa" w:w="0"/>
          </w:tcPr>
          <w:p>
            <w:r>
              <w:t>重大不符合</w:t>
            </w:r>
          </w:p>
        </w:tc>
        <w:tc>
          <w:tcPr>
            <w:tcW w:type="dxa" w:w="0"/>
          </w:tcPr>
          <w:p>
            <w:r>
              <w:t>① 体系要素缺失或整体失效（如某强制过程从未开展）；② 结果有效性受到实际影响（报告结果可疑、追溯链断裂）；③ 同一条款问题在多部门重复发生或多次审核重复出现；④ 明知不符合仍继续运行</w:t>
            </w:r>
          </w:p>
        </w:tc>
      </w:tr>
      <w:tr>
        <w:tc>
          <w:tcPr>
            <w:tcW w:type="dxa" w:w="0"/>
          </w:tcPr>
          <w:p>
            <w:r>
              <w:t>一般不符合</w:t>
            </w:r>
          </w:p>
        </w:tc>
        <w:tc>
          <w:tcPr>
            <w:tcW w:type="dxa" w:w="0"/>
          </w:tcPr>
          <w:p>
            <w:r>
              <w:t>个别执行偏离要求、孤立发生、经查未影响结果有效性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事实描述：好 / 差对照</w:t>
      </w:r>
    </w:p>
    <w:p>
      <w:pPr>
        <w:pStyle w:val="Heading3"/>
      </w:pPr>
    </w:p>
    <w:p>
      <w:r>
        <w:rPr>
          <w:b/>
        </w:rPr>
        <w:t>差：</w:t>
      </w:r>
      <w:r>
        <w:t>「仪器管理混乱，人员责任心不强，记录填写不规范。」——无证据、无编号、无条款，无法整改也无法验证。</w:t>
      </w:r>
    </w:p>
    <w:p>
      <w:r>
        <w:rPr>
          <w:b/>
        </w:rPr>
        <w:t>好：</w:t>
      </w:r>
      <w:r>
        <w:t>「2026-05-12 查设备使用记录 12 份（2026 年 3–5 月），编号 EQ-2026-041、047、053 共 3 份使用后未填写设备状态标识；查《设备管理程序》V2.1 §5.3 规定『每次使用后须确认并填写状态标识』，不符合 ISO/IEC 17025:2017 §6.4 要求。」</w:t>
      </w:r>
    </w:p>
    <w:p>
      <w:pPr>
        <w:pStyle w:val="Heading3"/>
      </w:pPr>
      <w:r>
        <w:t>原因分析深度对照</w:t>
      </w:r>
    </w:p>
    <w:p>
      <w:r>
        <w:rPr>
          <w:b/>
        </w:rPr>
        <w:t>不到位：</w:t>
      </w:r>
      <w:r>
        <w:t>「原因是人员疏忽，措施：加强培训、提高意识。」</w:t>
      </w:r>
    </w:p>
    <w:p>
      <w:r>
        <w:rPr>
          <w:b/>
        </w:rPr>
        <w:t>到位：</w:t>
      </w:r>
      <w:r>
        <w:t>「为什么 3 份记录漏填状态标识？→ 3 份均为夜班时段；为什么夜班漏填？→ 夜班交接清单未包含状态标识确认项；为什么交接清单缺失该项？→ 编制交接清单时未对照程序文件逐条核对。根因：交接清单编制缺少对照程序文件的机制。措施：修订交接清单模板（加入状态标识项），并将清单纳入受控文件，由质量负责人每季度对照程序文件核查一次。」</w:t>
      </w:r>
    </w:p>
    <w:p>
      <w:r>
        <w:rPr>
          <w:b/>
        </w:rPr>
        <w:t>时限要求（LP-02 约定）：</w:t>
      </w:r>
      <w:r>
        <w:t>整改证据提交不超过开具后 15 个工作日；两次整改仍不通过或超 60 日未闭环的，升级报告实验室主任处置（LP-02 §5.8）。跟踪台账使用 IA-06。</w:t>
        <w:t xml:space="preserve"> </w:t>
        <w:t>FR-24 内审不符合项报告 · LabKitPro 内部审核整套资料包（中文版 v1.0）</w:t>
        <w:br/>
        <w:t>与官网模板库 FR-24 同编号 · 依据 ISO/IEC 17025:2017 §8.7 / §8.8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