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IA-05 Nonconformity Distribution &amp; Trend Analysis | LabKitPro Internal Audit Pack :root{--ink:#10202e;--ink2:#38505f;--muted:#5d7180;--bg:#f6f8fa;--card:#fff;--line:#dde5eb;--brand:#0f2f4a;--accent:#0e8f7d;--accent2:#1b6ea8;--warn:#a35b1a} *{box-sizing:border-box;margin:0;padding:0} body{font-family:"Inter","Segoe UI","Helvetica Neue",-apple-system,sans-serif;background:var(--bg);color:var(--ink);line-height:1.8;font-size:15px} .wrap{max-width:1080px;margin:0 auto;padding:0 24px 80px} header.hero{background:linear-gradient(135deg,#0f2f4a 0%,#16456b 60%,#1b6ea8 100%);color:#fff;padding:44px 24px 34px;margin-bottom:28px} .hero-inner{max-width:1080px;margin:0 auto} .kicker{font-size:13px;letter-spacing:2px;color:#8fd8cb;text-transform:uppercase;margin-bottom:10px} h1{font-size:28px;font-weight:800;margin-bottom:10px} .sub{font-size:14.5px;color:#cfe0ec;max-width:820px} .badge-row{margin-top:16px;display:flex;flex-wrap:wrap;gap:8px} .badge{font-size:12px;padding:4px 12px;border-radius:999px;background:rgba(255,255,255,.12);border:1px solid rgba(255,255,255,.25);color:#e8f2fa} h2{font-size:20px;font-weight:800;color:var(--brand);margin:36px 0 8px;padding-top:8px;border-top:2px solid #e3ecf2} table{width:100%;border-collapse:collapse;margin:10px 0 6px;font-size:13px;table-layout:fixed} th{background:#eef3f7;color:var(--ink2);font-weight:700;text-align:left;padding:8px;border:1px solid var(--line)} td{padding:8px;border:1px solid var(--line);vertical-align:top} tbody tr:nth-child(even){background:#fafcfd} .fill tbody td{background:#fff} .note{background:#fff8ec;border:1px solid #f0d9b8;border-radius:10px;padding:12px 16px;font-size:13px;color:#6b5320;margin:14px 0} .note b{color:#a35b1a} .foot{margin-top:48px;padding-top:18px;border-top:1px solid var(--line);color:var(--muted);font-size:12.5px;text-align:center} .ph{color:#98a8b6} @media(max-width:760px){h1{font-size:22px}table{font-size:12px;min-width:560px}th,td{padding:5px}.wrap{padding:0 14px 60px}} LabKitPro · Level-D Record Form (FR) · Audit Analysis Nonconformity Distribution &amp; Trend Analysis</w:t>
      </w:r>
    </w:p>
    <w:p>
      <w:pPr>
        <w:pStyle w:val="Heading1"/>
      </w:pPr>
    </w:p>
    <w:p>
      <w:r>
        <w:t>Tallies nonconformities by clause and compares them across years to answer “where are the system's weak points, and are they improving or deteriorating”. The output is the evidence behind the effectiveness conclusion in FR-25 and the input for management review §8.9.2 e). Form No. IA-05 Version V1.0 Supports LP-02 §5.6 / FR-25 Annual consolidation 1 Distribution by Clause (this year)</w:t>
      </w:r>
    </w:p>
    <w:p>
      <w:pPr>
        <w:pStyle w:val="Heading2"/>
      </w:pPr>
    </w:p>
    <w:tbl>
      <w:tblPr>
        <w:tblW w:type="auto" w:w="0"/>
        <w:tblLook w:firstColumn="1" w:firstRow="1" w:lastColumn="0" w:lastRow="0" w:noHBand="0" w:noVBand="1" w:val="04A0"/>
      </w:tblPr>
      <w:tblGrid>
        <w:gridCol w:w="2160"/>
        <w:gridCol w:w="2160"/>
        <w:gridCol w:w="2160"/>
        <w:gridCol w:w="2160"/>
      </w:tblGrid>
      <w:tr>
        <w:tc>
          <w:tcPr>
            <w:tcW w:type="dxa" w:w="0"/>
          </w:tcPr>
          <w:p>
            <w:r>
              <w:t>Clause block</w:t>
            </w:r>
          </w:p>
        </w:tc>
        <w:tc>
          <w:tcPr>
            <w:tcW w:type="dxa" w:w="0"/>
          </w:tcPr>
          <w:p>
            <w:r>
              <w:t>Content area</w:t>
            </w:r>
          </w:p>
        </w:tc>
        <w:tc>
          <w:tcPr>
            <w:tcW w:type="dxa" w:w="0"/>
          </w:tcPr>
          <w:p>
            <w:r>
              <w:t>No. of NCs</w:t>
            </w:r>
          </w:p>
        </w:tc>
        <w:tc>
          <w:tcPr>
            <w:tcW w:type="dxa" w:w="0"/>
          </w:tcPr>
          <w:p>
            <w:r>
              <w:t>Typical findings / remarks</w:t>
            </w:r>
          </w:p>
        </w:tc>
      </w:tr>
      <w:tr>
        <w:tc>
          <w:tcPr>
            <w:tcW w:type="dxa" w:w="0"/>
          </w:tcPr>
          <w:p>
            <w:r>
              <w:t>§4</w:t>
            </w:r>
          </w:p>
        </w:tc>
        <w:tc>
          <w:tcPr>
            <w:tcW w:type="dxa" w:w="0"/>
          </w:tcPr>
          <w:p>
            <w:r>
              <w:t>Impartiality, confidentiality</w:t>
            </w:r>
          </w:p>
        </w:tc>
        <w:tc>
          <w:tcPr>
            <w:tcW w:type="dxa" w:w="0"/>
          </w:tcPr>
          <w:p>
            <w:r>
              <w:t>[ ]</w:t>
            </w:r>
          </w:p>
        </w:tc>
        <w:tc>
          <w:tcPr>
            <w:tcW w:type="dxa" w:w="0"/>
          </w:tcPr>
          <w:p>
            <w:r>
              <w:t>[ ]</w:t>
            </w:r>
          </w:p>
        </w:tc>
      </w:tr>
      <w:tr>
        <w:tc>
          <w:tcPr>
            <w:tcW w:type="dxa" w:w="0"/>
          </w:tcPr>
          <w:p>
            <w:r>
              <w:t>§5</w:t>
            </w:r>
          </w:p>
        </w:tc>
        <w:tc>
          <w:tcPr>
            <w:tcW w:type="dxa" w:w="0"/>
          </w:tcPr>
          <w:p>
            <w:r>
              <w:t>Structure, responsibility, authority</w:t>
            </w:r>
          </w:p>
        </w:tc>
        <w:tc>
          <w:tcPr>
            <w:tcW w:type="dxa" w:w="0"/>
          </w:tcPr>
          <w:p>
            <w:r>
              <w:t>[ ]</w:t>
            </w:r>
          </w:p>
        </w:tc>
        <w:tc>
          <w:tcPr>
            <w:tcW w:type="dxa" w:w="0"/>
          </w:tcPr>
          <w:p>
            <w:r>
              <w:t>[ ]</w:t>
            </w:r>
          </w:p>
        </w:tc>
      </w:tr>
      <w:tr>
        <w:tc>
          <w:tcPr>
            <w:tcW w:type="dxa" w:w="0"/>
          </w:tcPr>
          <w:p>
            <w:r>
              <w:t>§6.2</w:t>
            </w:r>
          </w:p>
        </w:tc>
        <w:tc>
          <w:tcPr>
            <w:tcW w:type="dxa" w:w="0"/>
          </w:tcPr>
          <w:p>
            <w:r>
              <w:t>Personnel competence</w:t>
            </w:r>
          </w:p>
        </w:tc>
        <w:tc>
          <w:tcPr>
            <w:tcW w:type="dxa" w:w="0"/>
          </w:tcPr>
          <w:p>
            <w:r>
              <w:t>[ ]</w:t>
            </w:r>
          </w:p>
        </w:tc>
        <w:tc>
          <w:tcPr>
            <w:tcW w:type="dxa" w:w="0"/>
          </w:tcPr>
          <w:p>
            <w:r>
              <w:t>[ ]</w:t>
            </w:r>
          </w:p>
        </w:tc>
      </w:tr>
      <w:tr>
        <w:tc>
          <w:tcPr>
            <w:tcW w:type="dxa" w:w="0"/>
          </w:tcPr>
          <w:p>
            <w:r>
              <w:t>§6.3–§6.6</w:t>
            </w:r>
          </w:p>
        </w:tc>
        <w:tc>
          <w:tcPr>
            <w:tcW w:type="dxa" w:w="0"/>
          </w:tcPr>
          <w:p>
            <w:r>
              <w:t>Facilities, equipment, traceability, supplies</w:t>
            </w:r>
          </w:p>
        </w:tc>
        <w:tc>
          <w:tcPr>
            <w:tcW w:type="dxa" w:w="0"/>
          </w:tcPr>
          <w:p>
            <w:r>
              <w:t>[ ]</w:t>
            </w:r>
          </w:p>
        </w:tc>
        <w:tc>
          <w:tcPr>
            <w:tcW w:type="dxa" w:w="0"/>
          </w:tcPr>
          <w:p>
            <w:r>
              <w:t>[ ]</w:t>
            </w:r>
          </w:p>
        </w:tc>
      </w:tr>
      <w:tr>
        <w:tc>
          <w:tcPr>
            <w:tcW w:type="dxa" w:w="0"/>
          </w:tcPr>
          <w:p>
            <w:r>
              <w:t>§7.1–§7.5</w:t>
            </w:r>
          </w:p>
        </w:tc>
        <w:tc>
          <w:tcPr>
            <w:tcW w:type="dxa" w:w="0"/>
          </w:tcPr>
          <w:p>
            <w:r>
              <w:t>Contracts, methods, sampling, items, records</w:t>
            </w:r>
          </w:p>
        </w:tc>
        <w:tc>
          <w:tcPr>
            <w:tcW w:type="dxa" w:w="0"/>
          </w:tcPr>
          <w:p>
            <w:r>
              <w:t>[ ]</w:t>
            </w:r>
          </w:p>
        </w:tc>
        <w:tc>
          <w:tcPr>
            <w:tcW w:type="dxa" w:w="0"/>
          </w:tcPr>
          <w:p>
            <w:r>
              <w:t>[ ]</w:t>
            </w:r>
          </w:p>
        </w:tc>
      </w:tr>
      <w:tr>
        <w:tc>
          <w:tcPr>
            <w:tcW w:type="dxa" w:w="0"/>
          </w:tcPr>
          <w:p>
            <w:r>
              <w:t>§7.6–§7.8</w:t>
            </w:r>
          </w:p>
        </w:tc>
        <w:tc>
          <w:tcPr>
            <w:tcW w:type="dxa" w:w="0"/>
          </w:tcPr>
          <w:p>
            <w:r>
              <w:t>Uncertainty, validity, reporting</w:t>
            </w:r>
          </w:p>
        </w:tc>
        <w:tc>
          <w:tcPr>
            <w:tcW w:type="dxa" w:w="0"/>
          </w:tcPr>
          <w:p>
            <w:r>
              <w:t>[ ]</w:t>
            </w:r>
          </w:p>
        </w:tc>
        <w:tc>
          <w:tcPr>
            <w:tcW w:type="dxa" w:w="0"/>
          </w:tcPr>
          <w:p>
            <w:r>
              <w:t>[ ]</w:t>
            </w:r>
          </w:p>
        </w:tc>
      </w:tr>
      <w:tr>
        <w:tc>
          <w:tcPr>
            <w:tcW w:type="dxa" w:w="0"/>
          </w:tcPr>
          <w:p>
            <w:r>
              <w:t>§7.9–§7.11</w:t>
            </w:r>
          </w:p>
        </w:tc>
        <w:tc>
          <w:tcPr>
            <w:tcW w:type="dxa" w:w="0"/>
          </w:tcPr>
          <w:p>
            <w:r>
              <w:t>Complaints, nonconforming work, data control</w:t>
            </w:r>
          </w:p>
        </w:tc>
        <w:tc>
          <w:tcPr>
            <w:tcW w:type="dxa" w:w="0"/>
          </w:tcPr>
          <w:p>
            <w:r>
              <w:t>[ ]</w:t>
            </w:r>
          </w:p>
        </w:tc>
        <w:tc>
          <w:tcPr>
            <w:tcW w:type="dxa" w:w="0"/>
          </w:tcPr>
          <w:p>
            <w:r>
              <w:t>[ ]</w:t>
            </w:r>
          </w:p>
        </w:tc>
      </w:tr>
      <w:tr>
        <w:tc>
          <w:tcPr>
            <w:tcW w:type="dxa" w:w="0"/>
          </w:tcPr>
          <w:p>
            <w:r>
              <w:t>§8</w:t>
            </w:r>
          </w:p>
        </w:tc>
        <w:tc>
          <w:tcPr>
            <w:tcW w:type="dxa" w:w="0"/>
          </w:tcPr>
          <w:p>
            <w:r>
              <w:t>Management system elements</w:t>
            </w:r>
          </w:p>
        </w:tc>
        <w:tc>
          <w:tcPr>
            <w:tcW w:type="dxa" w:w="0"/>
          </w:tcPr>
          <w:p>
            <w:r>
              <w:t>[ ]</w:t>
            </w:r>
          </w:p>
        </w:tc>
        <w:tc>
          <w:tcPr>
            <w:tcW w:type="dxa" w:w="0"/>
          </w:tcPr>
          <w:p>
            <w:r>
              <w:t>[ ]</w:t>
            </w:r>
          </w:p>
        </w:tc>
      </w:tr>
      <w:tr>
        <w:tc>
          <w:tcPr>
            <w:tcW w:type="dxa" w:w="0"/>
          </w:tcPr>
          <w:p>
            <w:r>
              <w:t>Total</w:t>
            </w:r>
          </w:p>
        </w:tc>
        <w:tc>
          <w:tcPr>
            <w:tcW w:type="dxa" w:w="0"/>
          </w:tcPr>
          <w:p>
            <w:r>
              <w:t>—</w:t>
            </w:r>
          </w:p>
        </w:tc>
        <w:tc>
          <w:tcPr>
            <w:tcW w:type="dxa" w:w="0"/>
          </w:tcPr>
          <w:p>
            <w:r>
              <w:t>[ ]</w:t>
            </w:r>
          </w:p>
        </w:tc>
        <w:tc>
          <w:tcPr>
            <w:tcW w:type="dxa" w:w="0"/>
          </w:tcPr>
          <w:p>
            <w:r>
              <w:t>—</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2 Year-on-Year Trend (3-year comparison)</w:t>
      </w:r>
    </w:p>
    <w:p>
      <w:pPr>
        <w:pStyle w:val="Heading2"/>
      </w:pPr>
    </w:p>
    <w:tbl>
      <w:tblPr>
        <w:tblW w:type="auto" w:w="0"/>
        <w:tblLook w:firstColumn="1" w:firstRow="1" w:lastColumn="0" w:lastRow="0" w:noHBand="0" w:noVBand="1" w:val="04A0"/>
      </w:tblPr>
      <w:tblGrid>
        <w:gridCol w:w="1728"/>
        <w:gridCol w:w="1728"/>
        <w:gridCol w:w="1728"/>
        <w:gridCol w:w="1728"/>
        <w:gridCol w:w="1728"/>
      </w:tblGrid>
      <w:tr>
        <w:tc>
          <w:tcPr>
            <w:tcW w:type="dxa" w:w="0"/>
          </w:tcPr>
          <w:p>
            <w:r>
              <w:t>Indicator</w:t>
            </w:r>
          </w:p>
        </w:tc>
        <w:tc>
          <w:tcPr>
            <w:tcW w:type="dxa" w:w="0"/>
          </w:tcPr>
          <w:p>
            <w:r>
              <w:t>Year [20XX]</w:t>
            </w:r>
          </w:p>
        </w:tc>
        <w:tc>
          <w:tcPr>
            <w:tcW w:type="dxa" w:w="0"/>
          </w:tcPr>
          <w:p>
            <w:r>
              <w:t>Year [20XX]</w:t>
            </w:r>
          </w:p>
        </w:tc>
        <w:tc>
          <w:tcPr>
            <w:tcW w:type="dxa" w:w="0"/>
          </w:tcPr>
          <w:p>
            <w:r>
              <w:t>This year [20XX]</w:t>
            </w:r>
          </w:p>
        </w:tc>
        <w:tc>
          <w:tcPr>
            <w:tcW w:type="dxa" w:w="0"/>
          </w:tcPr>
          <w:p>
            <w:r>
              <w:t>Trend judgement</w:t>
            </w:r>
          </w:p>
        </w:tc>
      </w:tr>
      <w:tr>
        <w:tc>
          <w:tcPr>
            <w:tcW w:type="dxa" w:w="0"/>
          </w:tcPr>
          <w:p>
            <w:r>
              <w:t>Total NCs (internal audit)</w:t>
            </w:r>
          </w:p>
        </w:tc>
        <w:tc>
          <w:tcPr>
            <w:tcW w:type="dxa" w:w="0"/>
          </w:tcPr>
          <w:p>
            <w:r>
              <w:t>[ ]</w:t>
            </w:r>
          </w:p>
        </w:tc>
        <w:tc>
          <w:tcPr>
            <w:tcW w:type="dxa" w:w="0"/>
          </w:tcPr>
          <w:p>
            <w:r>
              <w:t>[ ]</w:t>
            </w:r>
          </w:p>
        </w:tc>
        <w:tc>
          <w:tcPr>
            <w:tcW w:type="dxa" w:w="0"/>
          </w:tcPr>
          <w:p>
            <w:r>
              <w:t>[ ]</w:t>
            </w:r>
          </w:p>
        </w:tc>
        <w:tc>
          <w:tcPr>
            <w:tcW w:type="dxa" w:w="0"/>
          </w:tcPr>
          <w:p>
            <w:r>
              <w:t>[ ]</w:t>
            </w:r>
          </w:p>
        </w:tc>
      </w:tr>
      <w:tr>
        <w:tc>
          <w:tcPr>
            <w:tcW w:type="dxa" w:w="0"/>
          </w:tcPr>
          <w:p>
            <w:r>
              <w:t>Major / minor split</w:t>
            </w:r>
          </w:p>
        </w:tc>
        <w:tc>
          <w:tcPr>
            <w:tcW w:type="dxa" w:w="0"/>
          </w:tcPr>
          <w:p>
            <w:r>
              <w:t>[ ]</w:t>
            </w:r>
          </w:p>
        </w:tc>
        <w:tc>
          <w:tcPr>
            <w:tcW w:type="dxa" w:w="0"/>
          </w:tcPr>
          <w:p>
            <w:r>
              <w:t>[ ]</w:t>
            </w:r>
          </w:p>
        </w:tc>
        <w:tc>
          <w:tcPr>
            <w:tcW w:type="dxa" w:w="0"/>
          </w:tcPr>
          <w:p>
            <w:r>
              <w:t>[ ]</w:t>
            </w:r>
          </w:p>
        </w:tc>
        <w:tc>
          <w:tcPr>
            <w:tcW w:type="dxa" w:w="0"/>
          </w:tcPr>
          <w:p>
            <w:r>
              <w:t>[ ]</w:t>
            </w:r>
          </w:p>
        </w:tc>
      </w:tr>
      <w:tr>
        <w:tc>
          <w:tcPr>
            <w:tcW w:type="dxa" w:w="0"/>
          </w:tcPr>
          <w:p>
            <w:r>
              <w:t>§6.4 equipment NCs</w:t>
            </w:r>
          </w:p>
        </w:tc>
        <w:tc>
          <w:tcPr>
            <w:tcW w:type="dxa" w:w="0"/>
          </w:tcPr>
          <w:p>
            <w:r>
              <w:t>[ ]</w:t>
            </w:r>
          </w:p>
        </w:tc>
        <w:tc>
          <w:tcPr>
            <w:tcW w:type="dxa" w:w="0"/>
          </w:tcPr>
          <w:p>
            <w:r>
              <w:t>[ ]</w:t>
            </w:r>
          </w:p>
        </w:tc>
        <w:tc>
          <w:tcPr>
            <w:tcW w:type="dxa" w:w="0"/>
          </w:tcPr>
          <w:p>
            <w:r>
              <w:t>[ ]</w:t>
            </w:r>
          </w:p>
        </w:tc>
        <w:tc>
          <w:tcPr>
            <w:tcW w:type="dxa" w:w="0"/>
          </w:tcPr>
          <w:p>
            <w:r>
              <w:t>[ ]</w:t>
            </w:r>
          </w:p>
        </w:tc>
      </w:tr>
      <w:tr>
        <w:tc>
          <w:tcPr>
            <w:tcW w:type="dxa" w:w="0"/>
          </w:tcPr>
          <w:p>
            <w:r>
              <w:t>§7.8 reporting NCs</w:t>
            </w:r>
          </w:p>
        </w:tc>
        <w:tc>
          <w:tcPr>
            <w:tcW w:type="dxa" w:w="0"/>
          </w:tcPr>
          <w:p>
            <w:r>
              <w:t>[ ]</w:t>
            </w:r>
          </w:p>
        </w:tc>
        <w:tc>
          <w:tcPr>
            <w:tcW w:type="dxa" w:w="0"/>
          </w:tcPr>
          <w:p>
            <w:r>
              <w:t>[ ]</w:t>
            </w:r>
          </w:p>
        </w:tc>
        <w:tc>
          <w:tcPr>
            <w:tcW w:type="dxa" w:w="0"/>
          </w:tcPr>
          <w:p>
            <w:r>
              <w:t>[ ]</w:t>
            </w:r>
          </w:p>
        </w:tc>
        <w:tc>
          <w:tcPr>
            <w:tcW w:type="dxa" w:w="0"/>
          </w:tcPr>
          <w:p>
            <w:r>
              <w:t>[ ]</w:t>
            </w:r>
          </w:p>
        </w:tc>
      </w:tr>
      <w:tr>
        <w:tc>
          <w:tcPr>
            <w:tcW w:type="dxa" w:w="0"/>
          </w:tcPr>
          <w:p>
            <w:r>
              <w:t>Closure on time rate</w:t>
            </w:r>
          </w:p>
        </w:tc>
        <w:tc>
          <w:tcPr>
            <w:tcW w:type="dxa" w:w="0"/>
          </w:tcPr>
          <w:p>
            <w:r>
              <w:t>[ ]</w:t>
            </w:r>
          </w:p>
        </w:tc>
        <w:tc>
          <w:tcPr>
            <w:tcW w:type="dxa" w:w="0"/>
          </w:tcPr>
          <w:p>
            <w:r>
              <w:t>[ ]</w:t>
            </w:r>
          </w:p>
        </w:tc>
        <w:tc>
          <w:tcPr>
            <w:tcW w:type="dxa" w:w="0"/>
          </w:tcPr>
          <w:p>
            <w:r>
              <w:t>[ ]</w:t>
            </w:r>
          </w:p>
        </w:tc>
        <w:tc>
          <w:tcPr>
            <w:tcW w:type="dxa" w:w="0"/>
          </w:tcPr>
          <w:p>
            <w:r>
              <w:t>[ ]</w:t>
            </w:r>
          </w:p>
        </w:tc>
      </w:tr>
      <w:tr>
        <w:tc>
          <w:tcPr>
            <w:tcW w:type="dxa" w:w="0"/>
          </w:tcPr>
          <w:p>
            <w:r>
              <w:t>NCs from external audits</w:t>
            </w:r>
          </w:p>
        </w:tc>
        <w:tc>
          <w:tcPr>
            <w:tcW w:type="dxa" w:w="0"/>
          </w:tcPr>
          <w:p>
            <w:r>
              <w:t>[ ]</w:t>
            </w:r>
          </w:p>
        </w:tc>
        <w:tc>
          <w:tcPr>
            <w:tcW w:type="dxa" w:w="0"/>
          </w:tcPr>
          <w:p>
            <w:r>
              <w:t>[ ]</w:t>
            </w:r>
          </w:p>
        </w:tc>
        <w:tc>
          <w:tcPr>
            <w:tcW w:type="dxa" w:w="0"/>
          </w:tcPr>
          <w:p>
            <w:r>
              <w:t>[ ]</w:t>
            </w:r>
          </w:p>
        </w:tc>
        <w:tc>
          <w:tcPr>
            <w:tcW w:type="dxa" w:w="0"/>
          </w:tcPr>
          <w:p>
            <w:r>
              <w:t>[ ]</w:t>
            </w:r>
          </w:p>
        </w:tc>
      </w:tr>
    </w:tbl>
    <w:p>
      <w:r>
        <w:t xml:space="preserve"> </w:t>
      </w:r>
    </w:p>
    <w:p>
      <w:r>
        <w:t xml:space="preserve"> </w:t>
      </w:r>
    </w:p>
    <w:p>
      <w:r>
        <w:t xml:space="preserve"> </w:t>
      </w:r>
    </w:p>
    <w:p>
      <w:r>
        <w:t xml:space="preserve"> </w:t>
      </w:r>
    </w:p>
    <w:p>
      <w:r>
        <w:t xml:space="preserve"> </w:t>
      </w:r>
    </w:p>
    <w:p>
      <w:r>
        <w:t xml:space="preserve"> </w:t>
      </w:r>
    </w:p>
    <w:p>
      <w:r>
        <w:t xml:space="preserve"> 3 Weak-Point Conclusions and Improvement Direction</w:t>
      </w:r>
    </w:p>
    <w:p>
      <w:pPr>
        <w:pStyle w:val="Heading2"/>
      </w:pPr>
    </w:p>
    <w:tbl>
      <w:tblPr>
        <w:tblW w:type="auto" w:w="0"/>
        <w:tblLook w:firstColumn="1" w:firstRow="1" w:lastColumn="0" w:lastRow="0" w:noHBand="0" w:noVBand="1" w:val="04A0"/>
      </w:tblPr>
      <w:tblGrid>
        <w:gridCol w:w="4320"/>
        <w:gridCol w:w="4320"/>
      </w:tblGrid>
      <w:tr>
        <w:tc>
          <w:tcPr>
            <w:tcW w:type="dxa" w:w="0"/>
          </w:tcPr>
          <w:p>
            <w:r>
              <w:t>Conclusion</w:t>
            </w:r>
          </w:p>
        </w:tc>
        <w:tc>
          <w:tcPr>
            <w:tcW w:type="dxa" w:w="0"/>
          </w:tcPr>
          <w:p>
            <w:r>
              <w:t>Analysis / evidence / recommended action</w:t>
            </w:r>
          </w:p>
        </w:tc>
      </w:tr>
      <w:tr>
        <w:tc>
          <w:tcPr>
            <w:tcW w:type="dxa" w:w="0"/>
          </w:tcPr>
          <w:p>
            <w:r>
              <w:t>Top weak point (this year)</w:t>
            </w:r>
          </w:p>
        </w:tc>
        <w:tc>
          <w:tcPr>
            <w:tcW w:type="dxa" w:w="0"/>
          </w:tcPr>
          <w:p>
            <w:r>
              <w:t>[e.g. §7.8 reporting accounts for 40% of NCs, of which 2/3 are missing report information — see FR-24 items; recommend report-template training + double review]</w:t>
            </w:r>
          </w:p>
        </w:tc>
      </w:tr>
      <w:tr>
        <w:tc>
          <w:tcPr>
            <w:tcW w:type="dxa" w:w="0"/>
          </w:tcPr>
          <w:p>
            <w:r>
              <w:t>Recurring issues</w:t>
            </w:r>
          </w:p>
        </w:tc>
        <w:tc>
          <w:tcPr>
            <w:tcW w:type="dxa" w:w="0"/>
          </w:tcPr>
          <w:p>
            <w:r>
              <w:t>[Issues appearing in both this year and last year — root cause not yet eliminated; suggest elevating to corrective action]</w:t>
            </w:r>
          </w:p>
        </w:tc>
      </w:tr>
      <w:tr>
        <w:tc>
          <w:tcPr>
            <w:tcW w:type="dxa" w:w="0"/>
          </w:tcPr>
          <w:p>
            <w:r>
              <w:t>Trend conclusion</w:t>
            </w:r>
          </w:p>
        </w:tc>
        <w:tc>
          <w:tcPr>
            <w:tcW w:type="dxa" w:w="0"/>
          </w:tcPr>
          <w:p>
            <w:r>
              <w:t xml:space="preserve">□ Overall improving □ Stable □ Deteriorating — basis: </w:t>
              <w:t>[ ]</w:t>
            </w:r>
          </w:p>
        </w:tc>
      </w:tr>
      <w:tr>
        <w:tc>
          <w:tcPr>
            <w:tcW w:type="dxa" w:w="0"/>
          </w:tcPr>
          <w:p>
            <w:r>
              <w:t>Recommendations</w:t>
            </w:r>
          </w:p>
        </w:tc>
        <w:tc>
          <w:tcPr>
            <w:tcW w:type="dxa" w:w="0"/>
          </w:tcPr>
          <w:p>
            <w:r>
              <w:t>[e.g. adjust next year's audit plan to increase frequency in §7.8; add a competence-monitoring item for report signing personnel]</w:t>
            </w:r>
          </w:p>
        </w:tc>
      </w:tr>
    </w:tbl>
    <w:p>
      <w:r>
        <w:t xml:space="preserve"> </w:t>
      </w:r>
    </w:p>
    <w:p>
      <w:r>
        <w:t xml:space="preserve"> </w:t>
      </w:r>
    </w:p>
    <w:p>
      <w:r>
        <w:t xml:space="preserve"> </w:t>
      </w:r>
    </w:p>
    <w:p>
      <w:r>
        <w:t xml:space="preserve"> </w:t>
      </w:r>
    </w:p>
    <w:p>
      <w:r>
        <w:t xml:space="preserve"> </w:t>
      </w:r>
      <w:r>
        <w:rPr>
          <w:b/>
        </w:rPr>
        <w:t>Method note:</w:t>
      </w:r>
      <w:r>
        <w:t xml:space="preserve"> ① complete this form each time an audit is finalised (per batch), consolidate at year end; ② when calculating percentages use NC counts by clause / total NC count; ③ “recurring” means the same or similar nonconformity appears in two consecutive years — list it separately and escalate; ④ the conclusions here must be consistent with the effectiveness judgement written in FR-25 and must be cited in management review input item e).</w:t>
        <w:t xml:space="preserve"> </w:t>
        <w:t>IA-05 Nonconformity Distribution &amp; Trend Analysis · LabKitPro Internal Audit Complete Pack (English Version v1.0)</w:t>
        <w:br/>
        <w:t>Prepared in accordance with ISO/IEC 17025:2017 · Paid template for internal use by the purchasing laboratory only</w:t>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