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FR-25 Internal Audit Report | LabKitPro Internal Audit Pack :root{--ink:#10202e;--ink2:#38505f;--muted:#5d7180;--bg:#f6f8fa;--card:#fff;--line:#dde5eb;--brand:#0f2f4a;--accent:#0e8f7d;--accent2:#1b6ea8;--warn:#a35b1a} *{box-sizing:border-box;margin:0;padding:0} body{font-family:"Inter","Segoe UI","Helvetica Neue",-apple-system,sans-serif;background:var(--bg);color:var(--ink);line-height:1.8;font-size:15px}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.good{background:#e7f4f1;border:1px solid #bfe3da;border-radius:8px;padding:10px 14px;font-size:13px;color:#1d5a50;margin:8px 0} .foot{margin-top:48px;padding-top:18px;border-top:1px solid var(--line);color:var(--muted);font-size:12.5px;text-align:center} .ph{color:#98a8b6} @media(max-width:760px){h1{font-size:22px}table{font-size:12px;min-width:560px}th,td{padding:5px}.wrap{padding:0 14px 60px}} LabKitPro · Level-D Record Form (FR) · Audit Report Internal Audit Report</w:t>
      </w:r>
    </w:p>
    <w:p>
      <w:pPr>
        <w:pStyle w:val="Heading1"/>
      </w:pPr>
    </w:p>
    <w:p>
      <w:r>
        <w:t>The formal output of an audit, satisfying all the elements of §8.8.2 c). Written by the team leader, issued within 10 working days, and feeding the corrective-action loop, trend analysis (IA-05) and management review input e). Form No. FR-25 Version V1.0 Supports LP-02 §5.6 Website library FR-25 (same source) 1 Audit Overview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Audit batch / No.</w:t>
            </w:r>
          </w:p>
        </w:tc>
        <w:tc>
          <w:tcPr>
            <w:tcW w:type="dxa" w:w="0"/>
          </w:tcPr>
          <w:p>
            <w:r>
              <w:t>[20XX, Batch No. X]</w:t>
            </w:r>
          </w:p>
        </w:tc>
      </w:tr>
      <w:tr>
        <w:tc>
          <w:tcPr>
            <w:tcW w:type="dxa" w:w="0"/>
          </w:tcPr>
          <w:p>
            <w:r>
              <w:t>Audit dates</w:t>
            </w:r>
          </w:p>
        </w:tc>
        <w:tc>
          <w:tcPr>
            <w:tcW w:type="dxa" w:w="0"/>
          </w:tcPr>
          <w:p>
            <w:r>
              <w:t>[YYYY-MM-DD to YYYY-MM-DD]</w:t>
            </w:r>
          </w:p>
        </w:tc>
      </w:tr>
      <w:tr>
        <w:tc>
          <w:tcPr>
            <w:tcW w:type="dxa" w:w="0"/>
          </w:tcPr>
          <w:p>
            <w:r>
              <w:t>Objective / scope / criteria</w:t>
            </w:r>
          </w:p>
        </w:tc>
        <w:tc>
          <w:tcPr>
            <w:tcW w:type="dxa" w:w="0"/>
          </w:tcPr>
          <w:p>
            <w:r>
              <w:t>[As defined in IA-02; state versions of the standard and system documents]</w:t>
            </w:r>
          </w:p>
        </w:tc>
      </w:tr>
      <w:tr>
        <w:tc>
          <w:tcPr>
            <w:tcW w:type="dxa" w:w="0"/>
          </w:tcPr>
          <w:p>
            <w:r>
              <w:t>Audit team</w:t>
            </w:r>
          </w:p>
        </w:tc>
        <w:tc>
          <w:tcPr>
            <w:tcW w:type="dxa" w:w="0"/>
          </w:tcPr>
          <w:p>
            <w:r>
              <w:t xml:space="preserve">Team leader: </w:t>
              <w:t>[ ]</w:t>
              <w:t xml:space="preserve">; members: </w:t>
              <w:t>[ ]</w:t>
              <w:t>; independence confirmed: □ Yes</w:t>
            </w:r>
          </w:p>
        </w:tc>
      </w:tr>
      <w:tr>
        <w:tc>
          <w:tcPr>
            <w:tcW w:type="dxa" w:w="0"/>
          </w:tcPr>
          <w:p>
            <w:r>
              <w:t>Audited departments / locations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Report issue date</w:t>
            </w:r>
          </w:p>
        </w:tc>
        <w:tc>
          <w:tcPr>
            <w:tcW w:type="dxa" w:w="0"/>
          </w:tcPr>
          <w:p>
            <w:r>
              <w:t>[YYYY-MM-DD]</w:t>
              <w:t xml:space="preserve"> (within 10 working days of the audit)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 Audit Execution Summary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Summary</w:t>
            </w:r>
          </w:p>
        </w:tc>
      </w:tr>
      <w:tr>
        <w:tc>
          <w:tcPr>
            <w:tcW w:type="dxa" w:w="0"/>
          </w:tcPr>
          <w:p>
            <w:r>
              <w:t>Clauses covered</w:t>
            </w:r>
          </w:p>
        </w:tc>
        <w:tc>
          <w:tcPr>
            <w:tcW w:type="dxa" w:w="0"/>
          </w:tcPr>
          <w:p>
            <w:r>
              <w:t>[e.g. §4.1–§4.2, §6.2–§6.6, §7.8–§7.11, §8.5–§8.9]</w:t>
            </w:r>
          </w:p>
        </w:tc>
      </w:tr>
      <w:tr>
        <w:tc>
          <w:tcPr>
            <w:tcW w:type="dxa" w:w="0"/>
          </w:tcPr>
          <w:p>
            <w:r>
              <w:t>Evidence sampled</w:t>
            </w:r>
          </w:p>
        </w:tc>
        <w:tc>
          <w:tcPr>
            <w:tcW w:type="dxa" w:w="0"/>
          </w:tcPr>
          <w:p>
            <w:r>
              <w:t>[e.g. 24 records, 6 on-site observations, 8 interviews]</w:t>
            </w:r>
          </w:p>
        </w:tc>
      </w:tr>
      <w:tr>
        <w:tc>
          <w:tcPr>
            <w:tcW w:type="dxa" w:w="0"/>
          </w:tcPr>
          <w:p>
            <w:r>
              <w:t>Nonconformities raised</w:t>
            </w:r>
          </w:p>
        </w:tc>
        <w:tc>
          <w:tcPr>
            <w:tcW w:type="dxa" w:w="0"/>
          </w:tcPr>
          <w:p>
            <w:r>
              <w:t xml:space="preserve">Major: </w:t>
              <w:t>[ ]</w:t>
              <w:t xml:space="preserve"> · Minor: </w:t>
              <w:t>[ ]</w:t>
              <w:t xml:space="preserve"> (list FR-24 numbers)</w:t>
            </w:r>
          </w:p>
        </w:tc>
      </w:tr>
      <w:tr>
        <w:tc>
          <w:tcPr>
            <w:tcW w:type="dxa" w:w="0"/>
          </w:tcPr>
          <w:p>
            <w:r>
              <w:t>Observations / opportunities for improvement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 Findings by Clause Block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Clause block</w:t>
            </w:r>
          </w:p>
        </w:tc>
        <w:tc>
          <w:tcPr>
            <w:tcW w:type="dxa" w:w="0"/>
          </w:tcPr>
          <w:p>
            <w:r>
              <w:t>Findings, strengths, NC summary</w:t>
            </w:r>
          </w:p>
        </w:tc>
      </w:tr>
      <w:tr>
        <w:tc>
          <w:tcPr>
            <w:tcW w:type="dxa" w:w="0"/>
          </w:tcPr>
          <w:p>
            <w:r>
              <w:t>§4 General requirements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§5 Structural requirements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§6 Resource requirements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§7 Process requirements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§8 Management requirements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 Nonconformity List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FR-24 No.</w:t>
            </w:r>
          </w:p>
        </w:tc>
        <w:tc>
          <w:tcPr>
            <w:tcW w:type="dxa" w:w="0"/>
          </w:tcPr>
          <w:p>
            <w:r>
              <w:t>Grade</w:t>
            </w:r>
          </w:p>
        </w:tc>
        <w:tc>
          <w:tcPr>
            <w:tcW w:type="dxa" w:w="0"/>
          </w:tcPr>
          <w:p>
            <w:r>
              <w:t>Summary of facts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>
            <w:r>
              <w:t>□ Major □ Minor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>
            <w:r>
              <w:t>□ Correcting □ Closed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>
            <w:r>
              <w:t>□ Major □ Minor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>
            <w:r>
              <w:t>□ Correcting □ Closed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5 Effectiveness Judgement of the Management System (conclusion section — write it with evidence)</w:t>
      </w:r>
    </w:p>
    <w:p>
      <w:pPr>
        <w:pStyle w:val="Heading2"/>
      </w:pPr>
    </w:p>
    <w:p>
      <w:r>
        <w:rPr>
          <w:b/>
        </w:rPr>
        <w:t>Wording model:</w:t>
      </w:r>
      <w:r>
        <w:t xml:space="preserve"> “Within the audited scope, the management system continues to conform to ISO/IEC 17025:2017 and is capable of achieving its intended results. The 5 nonconformities are single, minor items concentrated in §6.4 equipment identification and §7.7 report review — no systemic failure or impact on result validity was found. Trend analysis (IA-05) shows total NCs down from 9 to 5 year on year, indicating sustained improvement. Follow-up: corrective actions per FR-24 NC-2026-001…005, verification and closure tracked in IA-06.”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Conclusion item</w:t>
            </w:r>
          </w:p>
        </w:tc>
        <w:tc>
          <w:tcPr>
            <w:tcW w:type="dxa" w:w="0"/>
          </w:tcPr>
          <w:p>
            <w:r>
              <w:t>Judgement and supporting evidence</w:t>
            </w:r>
          </w:p>
        </w:tc>
      </w:tr>
      <w:tr>
        <w:tc>
          <w:tcPr>
            <w:tcW w:type="dxa" w:w="0"/>
          </w:tcPr>
          <w:p>
            <w:r>
              <w:t>Conformity of the audited scope</w:t>
            </w:r>
          </w:p>
        </w:tc>
        <w:tc>
          <w:tcPr>
            <w:tcW w:type="dxa" w:w="0"/>
          </w:tcPr>
          <w:p>
            <w:r>
              <w:t xml:space="preserve">□ Conforming □ Major NCs found — </w:t>
              <w:t>[evidence]</w:t>
            </w:r>
          </w:p>
        </w:tc>
      </w:tr>
      <w:tr>
        <w:tc>
          <w:tcPr>
            <w:tcW w:type="dxa" w:w="0"/>
          </w:tcPr>
          <w:p>
            <w:r>
              <w:t>Effectiveness of the system</w:t>
            </w:r>
          </w:p>
        </w:tc>
        <w:tc>
          <w:tcPr>
            <w:tcW w:type="dxa" w:w="0"/>
          </w:tcPr>
          <w:p>
            <w:r>
              <w:t xml:space="preserve">□ Effective □ Generally effective with improvement needed — </w:t>
              <w:t>[evidence]</w:t>
            </w:r>
          </w:p>
        </w:tc>
      </w:tr>
      <w:tr>
        <w:tc>
          <w:tcPr>
            <w:tcW w:type="dxa" w:w="0"/>
          </w:tcPr>
          <w:p>
            <w:r>
              <w:t>Implementation status of previous corrective actions</w:t>
            </w:r>
          </w:p>
        </w:tc>
        <w:tc>
          <w:tcPr>
            <w:tcW w:type="dxa" w:w="0"/>
          </w:tcPr>
          <w:p>
            <w:r>
              <w:t>[e.g. 8 of 9 closed on time, 1 overdue escalated]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6 Conclusions and Recommendations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Conclusions, recommendations (including adjustments to the next audit programme) and required follow-up</w:t>
            </w:r>
          </w:p>
        </w:tc>
      </w:tr>
      <w:tr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7 Distribution and Records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Distributed to: □ Top management □ Quality Manager □ Technical Manager □ Audited departments □ Management review (as input e))</w:t>
              <w:br/>
              <w:t xml:space="preserve">Distribution date: </w:t>
              <w:t>[YYYY-MM-DD]</w:t>
              <w:t xml:space="preserve"> · Report No. for archiving: </w:t>
              <w:t>[ ]</w:t>
              <w:t xml:space="preserve"> · Retention: no less than 6 years (§8.4)</w:t>
            </w:r>
          </w:p>
        </w:tc>
      </w:tr>
    </w:tbl>
    <w:p>
      <w:r>
        <w:t xml:space="preserve"> </w:t>
      </w:r>
      <w:r>
        <w:rPr>
          <w:b/>
        </w:rPr>
        <w:t>Writing requirements:</w:t>
      </w:r>
      <w:r>
        <w:t xml:space="preserve"> ① every finding must cite the evidence recorded on IA-04 — no conclusions without evidence; ② the effectiveness judgement must be supported by the trend data in IA-05, not a subjective sentence; ③ report within 10 working days of the audit; ④ the report is the direct evidence for management review input e) and for assessors verifying that the internal audit is “planned, established, implemented and maintained” (§8.8.2 a)).</w:t>
        <w:t xml:space="preserve"> </w:t>
        <w:t>FR-25 Internal Audit Report · LabKitPro Internal Audit Complete Pack (English Version v1.0)</w:t>
        <w:br/>
        <w:t>Prepared in accordance with ISO/IEC 17025:2017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