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FR-25 内部审核报告（完善版） | LabKitPro 内审资料包 :root{--ink:#10202e;--ink2:#38505f;--muted:#5d7180;--bg:#f6f8fa;--card:#fff;--line:#dde5eb;--brand:#0f2f4a;--accent:#0e8f7d;--accent2:#1b6ea8;--warn:#a35b1a} *{box-sizing:border-box;margin:0;padding:0} body{font-family:"Noto Sans SC","PingFang SC","Microsoft YaHei",-apple-system,sans-serif;background:var(--bg);color:var(--ink);line-height:1.8;font-size:15px}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h3{font-size:15.5px;font-weight:700;color:var(--ink2);margin:20px 0 8px} table{width:100%;border-collapse:collapse;margin:10px 0 6px;font-size:13px;table-layout:fixed} th{background:#eef3f7;color:var(--ink2);font-weight:700;text-align:left;padding:8px;border:1px solid var(--line)} td{padding:8px;border:1px solid var(--line);vertical-align:top} .fill tbody td{background:#fff} .note{background:#fff8ec;border:1px solid #f0d9b8;border-radius:10px;padding:12px 16px;font-size:13px;color:#6b5320;margin:14px 0} .note b{color:#a35b1a} .bad{background:#fdeaea;border:1px solid #ecc8c8;border-radius:8px;padding:10px 14px;font-size:13px;color:#7a2830;margin:8px 0} .good{background:#e7f4f1;border:1px solid #bfe3da;border-radius:8px;padding:10px 14px;font-size:13px;color:#1d5a50;margin:8px 0} .foot{margin-top:48px;padding-top:18px;border-top:1px solid var(--line);color:var(--muted);font-size:12.5px;text-align:center} .concl{background:#eef5fb;border:1px solid #c6dcef;border-radius:10px;padding:14px 18px;font-size:13.5px;color:#234b6e;margin:12px 0} .concl b{color:var(--brand)} @media(max-width:760px){h1{font-size:22px}table{font-size:12px;min-width:520px}th,td{padding:5px}.wrap{padding:0 14px 60px}} LabKitPro · D 级记录表单（FR）· 对应官网库 FR-25 内部审核报告</w:t>
      </w:r>
    </w:p>
    <w:p>
      <w:pPr>
        <w:pStyle w:val="Heading1"/>
      </w:pPr>
    </w:p>
    <w:p>
      <w:r>
        <w:t>Internal Audit Report —— 承载 §8.8.2 c) 要求：汇总审核发现、给出体系符合性与有效性结论、提出改进方向，是内审闭环的总输出文件，提交管理评审（§8.9.2 i）。 文件编号 FR-25 版本 V1.0（完善版） 对应 §8.8.2 c) ／ §8.9.2 i) 签发：审核组长 → 质量负责人 → 实验室主任 第一部分 报告正页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报告编号</w:t>
            </w:r>
          </w:p>
        </w:tc>
        <w:tc>
          <w:tcPr>
            <w:tcW w:type="dxa" w:w="0"/>
          </w:tcPr>
          <w:p>
            <w:r>
              <w:t>AUD-RPT-[20XX]-[XX]</w:t>
            </w:r>
          </w:p>
        </w:tc>
        <w:tc>
          <w:tcPr>
            <w:tcW w:type="dxa" w:w="0"/>
          </w:tcPr>
          <w:p>
            <w:r>
              <w:t>对应审核批次</w:t>
            </w:r>
          </w:p>
        </w:tc>
        <w:tc>
          <w:tcPr>
            <w:tcW w:type="dxa" w:w="0"/>
          </w:tcPr>
          <w:p>
            <w:r>
              <w:t>[20XX 年第 X 批]</w:t>
            </w:r>
          </w:p>
        </w:tc>
      </w:tr>
      <w:tr>
        <w:tc>
          <w:tcPr>
            <w:tcW w:type="dxa" w:w="0"/>
          </w:tcPr>
          <w:p>
            <w:r>
              <w:t>审核类型</w:t>
            </w:r>
          </w:p>
        </w:tc>
        <w:tc>
          <w:tcPr>
            <w:tcW w:type="dxa" w:w="0"/>
          </w:tcPr>
          <w:p>
            <w:r>
              <w:t>□ 年度例行 □ 追加 □ 专项</w:t>
            </w:r>
          </w:p>
        </w:tc>
        <w:tc>
          <w:tcPr>
            <w:tcW w:type="dxa" w:w="0"/>
          </w:tcPr>
          <w:p>
            <w:r>
              <w:t>审核日期</w:t>
            </w:r>
          </w:p>
        </w:tc>
        <w:tc>
          <w:tcPr>
            <w:tcW w:type="dxa" w:w="0"/>
          </w:tcPr>
          <w:p>
            <w:r>
              <w:t>[YYYY-MM-DD]</w:t>
            </w:r>
          </w:p>
        </w:tc>
      </w:tr>
      <w:tr>
        <w:tc>
          <w:tcPr>
            <w:tcW w:type="dxa" w:w="0"/>
          </w:tcPr>
          <w:p>
            <w:r>
              <w:t>审核组长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>
            <w:r>
              <w:t>审核员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</w:tr>
      <w:tr>
        <w:tc>
          <w:tcPr>
            <w:tcW w:type="dxa" w:w="0"/>
          </w:tcPr>
          <w:p>
            <w:r>
              <w:t>受审核方（最高管理者/质量负责人）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报告签发日期</w:t>
            </w:r>
          </w:p>
        </w:tc>
        <w:tc>
          <w:tcPr>
            <w:tcW w:type="dxa" w:w="0"/>
          </w:tcPr>
          <w:p>
            <w:r>
              <w:t>[YYYY-MM-DD]</w:t>
            </w:r>
          </w:p>
        </w:tc>
        <w:tc>
          <w:tcPr>
            <w:tcW w:type="dxa" w:w="0"/>
          </w:tcPr>
          <w:p>
            <w:r>
              <w:t>分发范围</w:t>
            </w:r>
          </w:p>
        </w:tc>
        <w:tc>
          <w:tcPr>
            <w:tcW w:type="dxa" w:w="0"/>
          </w:tcPr>
          <w:p>
            <w:r>
              <w:t>质量负责人、各责任部门、管理评审输入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1 审核目的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0"/>
          </w:tcPr>
          <w:p>
            <w:r>
              <w:t>[示例：确定实验室管理体系与 ISO/IEC 17025:2017 的符合性；验证体系是否得到有效实施与保持；为管理评审提供输入；识别改进机会]</w:t>
            </w:r>
          </w:p>
        </w:tc>
      </w:tr>
    </w:tbl>
    <w:p>
      <w:r>
        <w:t xml:space="preserve"> 2 审核范围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覆盖要素</w:t>
            </w:r>
          </w:p>
        </w:tc>
        <w:tc>
          <w:tcPr>
            <w:tcW w:type="dxa" w:w="0"/>
          </w:tcPr>
          <w:p>
            <w:r>
              <w:t>[通用要求 §4 / 结构要求 §5 / 资源要求 §6 / 过程要求 §7 / 管理要求 §8 全部条款（或本次专项范围）]</w:t>
            </w:r>
          </w:p>
        </w:tc>
      </w:tr>
      <w:tr>
        <w:tc>
          <w:tcPr>
            <w:tcW w:type="dxa" w:w="0"/>
          </w:tcPr>
          <w:p>
            <w:r>
              <w:t>覆盖部门/场所</w:t>
            </w:r>
          </w:p>
        </w:tc>
        <w:tc>
          <w:tcPr>
            <w:tcW w:type="dxa" w:w="0"/>
          </w:tcPr>
          <w:p>
            <w:r>
              <w:t>[样品接收、检测室、设备、质量、报告、校准/标准物质、档案、管理层等，列明是否含外部场所]</w:t>
            </w:r>
          </w:p>
        </w:tc>
      </w:tr>
      <w:tr>
        <w:tc>
          <w:tcPr>
            <w:tcW w:type="dxa" w:w="0"/>
          </w:tcPr>
          <w:p>
            <w:r>
              <w:t>覆盖过程/方法</w:t>
            </w:r>
          </w:p>
        </w:tc>
        <w:tc>
          <w:tcPr>
            <w:tcW w:type="dxa" w:w="0"/>
          </w:tcPr>
          <w:p>
            <w:r>
              <w:t>[抽样、检测、校准、报告、分包、投诉、设备、人员、采购等关键过程]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3 审核准则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序</w:t>
            </w:r>
          </w:p>
        </w:tc>
        <w:tc>
          <w:tcPr>
            <w:tcW w:type="dxa" w:w="0"/>
          </w:tcPr>
          <w:p>
            <w:r>
              <w:t>准则文件</w:t>
            </w:r>
          </w:p>
        </w:tc>
        <w:tc>
          <w:tcPr>
            <w:tcW w:type="dxa" w:w="0"/>
          </w:tcPr>
          <w:p>
            <w:r>
              <w:t>版本/条款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ISO/IEC 17025:2017</w:t>
            </w:r>
          </w:p>
        </w:tc>
        <w:tc>
          <w:tcPr>
            <w:tcW w:type="dxa" w:w="0"/>
          </w:tcPr>
          <w:p>
            <w:r>
              <w:t>全文</w:t>
            </w:r>
          </w:p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实验室管理体系文件（质量手册、程序、作业指导书）</w:t>
            </w:r>
          </w:p>
        </w:tc>
        <w:tc>
          <w:tcPr>
            <w:tcW w:type="dxa" w:w="0"/>
          </w:tcPr>
          <w:p>
            <w:r>
              <w:t>现行有效版本</w:t>
            </w:r>
          </w:p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客户要求 / 合同 / 认可准则补充</w:t>
            </w:r>
          </w:p>
        </w:tc>
        <w:tc>
          <w:tcPr>
            <w:tcW w:type="dxa" w:w="0"/>
          </w:tcPr>
          <w:p>
            <w:r>
              <w:t>[填写]</w:t>
            </w:r>
          </w:p>
        </w:tc>
      </w:tr>
      <w:tr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适用的法律法规</w:t>
            </w:r>
          </w:p>
        </w:tc>
        <w:tc>
          <w:tcPr>
            <w:tcW w:type="dxa" w:w="0"/>
          </w:tcPr>
          <w:p>
            <w:r>
              <w:t>[填写]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 审核概况（日程、抽样、工作量）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审核日程</w:t>
            </w:r>
          </w:p>
        </w:tc>
        <w:tc>
          <w:tcPr>
            <w:tcW w:type="dxa" w:w="0"/>
          </w:tcPr>
          <w:p>
            <w:r>
              <w:t>[首末次会议时间、现场审核天数、分组安排，详见 IA-02]</w:t>
            </w:r>
          </w:p>
        </w:tc>
      </w:tr>
      <w:tr>
        <w:tc>
          <w:tcPr>
            <w:tcW w:type="dxa" w:w="0"/>
          </w:tcPr>
          <w:p>
            <w:r>
              <w:t>抽样概况</w:t>
            </w:r>
          </w:p>
        </w:tc>
        <w:tc>
          <w:tcPr>
            <w:tcW w:type="dxa" w:w="0"/>
          </w:tcPr>
          <w:p>
            <w:r>
              <w:t>[抽查记录/报告/设备/人员数量，抽样方案见 IA-02，检查表见 IA-04]</w:t>
            </w:r>
          </w:p>
        </w:tc>
      </w:tr>
      <w:tr>
        <w:tc>
          <w:tcPr>
            <w:tcW w:type="dxa" w:w="0"/>
          </w:tcPr>
          <w:p>
            <w:r>
              <w:t>发现统计</w:t>
            </w:r>
          </w:p>
        </w:tc>
        <w:tc>
          <w:tcPr>
            <w:tcW w:type="dxa" w:w="0"/>
          </w:tcPr>
          <w:p>
            <w:r>
              <w:t>开具不符合项 __ 项（重大 __ / 一般 __），观察项/改进机会 __ 项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5 审核发现汇总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条款</w:t>
            </w:r>
          </w:p>
        </w:tc>
        <w:tc>
          <w:tcPr>
            <w:tcW w:type="dxa" w:w="0"/>
          </w:tcPr>
          <w:p>
            <w:r>
              <w:t>发现要点</w:t>
            </w:r>
          </w:p>
        </w:tc>
        <w:tc>
          <w:tcPr>
            <w:tcW w:type="dxa" w:w="0"/>
          </w:tcPr>
          <w:p>
            <w:r>
              <w:t>符合性</w:t>
            </w:r>
          </w:p>
        </w:tc>
        <w:tc>
          <w:tcPr>
            <w:tcW w:type="dxa" w:w="0"/>
          </w:tcPr>
          <w:p>
            <w:r>
              <w:t>关联报告</w:t>
            </w:r>
          </w:p>
        </w:tc>
      </w:tr>
      <w:tr>
        <w:tc>
          <w:tcPr>
            <w:tcW w:type="dxa" w:w="0"/>
          </w:tcPr>
          <w:p>
            <w:r>
              <w:t>§4.1</w:t>
            </w:r>
          </w:p>
        </w:tc>
        <w:tc>
          <w:tcPr>
            <w:tcW w:type="dxa" w:w="0"/>
          </w:tcPr>
          <w:p>
            <w:r>
              <w:t>[公正性机制运行]</w:t>
            </w:r>
          </w:p>
        </w:tc>
        <w:tc>
          <w:tcPr>
            <w:tcW w:type="dxa" w:w="0"/>
          </w:tcPr>
          <w:p>
            <w:r>
              <w:t>□符合 □不符合</w:t>
            </w:r>
          </w:p>
        </w:tc>
        <w:tc>
          <w:tcPr>
            <w:tcW w:type="dxa" w:w="0"/>
          </w:tcPr>
          <w:p>
            <w:r>
              <w:t>NC-[ ]；IA-04</w:t>
            </w:r>
          </w:p>
        </w:tc>
      </w:tr>
      <w:tr>
        <w:tc>
          <w:tcPr>
            <w:tcW w:type="dxa" w:w="0"/>
          </w:tcPr>
          <w:p>
            <w:r>
              <w:t>§4.2</w:t>
            </w:r>
          </w:p>
        </w:tc>
        <w:tc>
          <w:tcPr>
            <w:tcW w:type="dxa" w:w="0"/>
          </w:tcPr>
          <w:p>
            <w:r>
              <w:t>[保密与信息保护]</w:t>
            </w:r>
          </w:p>
        </w:tc>
        <w:tc>
          <w:tcPr>
            <w:tcW w:type="dxa" w:w="0"/>
          </w:tcPr>
          <w:p>
            <w:r>
              <w:t>□符合 □不符合</w:t>
            </w:r>
          </w:p>
        </w:tc>
        <w:tc>
          <w:tcPr>
            <w:tcW w:type="dxa" w:w="0"/>
          </w:tcPr>
          <w:p>
            <w:r>
              <w:t>NC-[ ]；IA-04</w:t>
            </w:r>
          </w:p>
        </w:tc>
      </w:tr>
      <w:tr>
        <w:tc>
          <w:tcPr>
            <w:tcW w:type="dxa" w:w="0"/>
          </w:tcPr>
          <w:p>
            <w:r>
              <w:t>§5.1–§5.7</w:t>
            </w:r>
          </w:p>
        </w:tc>
        <w:tc>
          <w:tcPr>
            <w:tcW w:type="dxa" w:w="0"/>
          </w:tcPr>
          <w:p>
            <w:r>
              <w:t>[法律地位/结构/方针目标]</w:t>
            </w:r>
          </w:p>
        </w:tc>
        <w:tc>
          <w:tcPr>
            <w:tcW w:type="dxa" w:w="0"/>
          </w:tcPr>
          <w:p>
            <w:r>
              <w:t>□符合 □不符合</w:t>
            </w:r>
          </w:p>
        </w:tc>
        <w:tc>
          <w:tcPr>
            <w:tcW w:type="dxa" w:w="0"/>
          </w:tcPr>
          <w:p>
            <w:r>
              <w:t>IA-04</w:t>
            </w:r>
          </w:p>
        </w:tc>
      </w:tr>
      <w:tr>
        <w:tc>
          <w:tcPr>
            <w:tcW w:type="dxa" w:w="0"/>
          </w:tcPr>
          <w:p>
            <w:r>
              <w:t>§6.1–§6.6</w:t>
            </w:r>
          </w:p>
        </w:tc>
        <w:tc>
          <w:tcPr>
            <w:tcW w:type="dxa" w:w="0"/>
          </w:tcPr>
          <w:p>
            <w:r>
              <w:t>[人员/设施/设备/计量溯源/外部供应]</w:t>
            </w:r>
          </w:p>
        </w:tc>
        <w:tc>
          <w:tcPr>
            <w:tcW w:type="dxa" w:w="0"/>
          </w:tcPr>
          <w:p>
            <w:r>
              <w:t>□符合 □不符合</w:t>
            </w:r>
          </w:p>
        </w:tc>
        <w:tc>
          <w:tcPr>
            <w:tcW w:type="dxa" w:w="0"/>
          </w:tcPr>
          <w:p>
            <w:r>
              <w:t>NC-[ ]；IA-04</w:t>
            </w:r>
          </w:p>
        </w:tc>
      </w:tr>
      <w:tr>
        <w:tc>
          <w:tcPr>
            <w:tcW w:type="dxa" w:w="0"/>
          </w:tcPr>
          <w:p>
            <w:r>
              <w:t>§7.1–§7.11</w:t>
            </w:r>
          </w:p>
        </w:tc>
        <w:tc>
          <w:tcPr>
            <w:tcW w:type="dxa" w:w="0"/>
          </w:tcPr>
          <w:p>
            <w:r>
              <w:t>[方法/抽样/质控/报告/投诉/改进]</w:t>
            </w:r>
          </w:p>
        </w:tc>
        <w:tc>
          <w:tcPr>
            <w:tcW w:type="dxa" w:w="0"/>
          </w:tcPr>
          <w:p>
            <w:r>
              <w:t>□符合 □不符合</w:t>
            </w:r>
          </w:p>
        </w:tc>
        <w:tc>
          <w:tcPr>
            <w:tcW w:type="dxa" w:w="0"/>
          </w:tcPr>
          <w:p>
            <w:r>
              <w:t>NC-[ ]；IA-04</w:t>
            </w:r>
          </w:p>
        </w:tc>
      </w:tr>
      <w:tr>
        <w:tc>
          <w:tcPr>
            <w:tcW w:type="dxa" w:w="0"/>
          </w:tcPr>
          <w:p>
            <w:r>
              <w:t>§8.1–§8.9</w:t>
            </w:r>
          </w:p>
        </w:tc>
        <w:tc>
          <w:tcPr>
            <w:tcW w:type="dxa" w:w="0"/>
          </w:tcPr>
          <w:p>
            <w:r>
              <w:t>[体系文件/风险/内审/管评/改进]</w:t>
            </w:r>
          </w:p>
        </w:tc>
        <w:tc>
          <w:tcPr>
            <w:tcW w:type="dxa" w:w="0"/>
          </w:tcPr>
          <w:p>
            <w:r>
              <w:t>□符合 □不符合</w:t>
            </w:r>
          </w:p>
        </w:tc>
        <w:tc>
          <w:tcPr>
            <w:tcW w:type="dxa" w:w="0"/>
          </w:tcPr>
          <w:p>
            <w:r>
              <w:t>IA-04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 xml:space="preserve">本表为逐条款结论摘要；完整查证记录在 </w:t>
      </w:r>
      <w:r>
        <w:rPr>
          <w:b/>
        </w:rPr>
        <w:t>IA-04 内部审核检查表（全要素）</w:t>
      </w:r>
      <w:r>
        <w:t xml:space="preserve">，不符合项明细在 </w:t>
      </w:r>
      <w:r>
        <w:rPr>
          <w:b/>
        </w:rPr>
        <w:t>FR-24 不符合项报告</w:t>
      </w:r>
      <w:r>
        <w:t xml:space="preserve"> 与 </w:t>
      </w:r>
      <w:r>
        <w:rPr>
          <w:b/>
        </w:rPr>
        <w:t>IA-05 分布趋势分析</w:t>
      </w:r>
      <w:r>
        <w:t>。</w:t>
      </w:r>
    </w:p>
    <w:p>
      <w:pPr>
        <w:pStyle w:val="Heading3"/>
      </w:pPr>
      <w:r>
        <w:t>6 不符合项分布与趋势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0"/>
          </w:tcPr>
          <w:p>
            <w:r>
              <w:t>按条款分布：</w:t>
              <w:t>[如 §6.4 设备 3 项、§7.7 报告 1 项、§8.4 记录 1 项]</w:t>
              <w:t>；按部门分布：</w:t>
              <w:t>[检测室 3、设备组 1、综合 1]</w:t>
              <w:t>；与上年度对比（高发条款是否收敛）：</w:t>
              <w:t>[见 IA-05]</w:t>
              <w:t>。</w:t>
            </w:r>
          </w:p>
        </w:tc>
      </w:tr>
    </w:tbl>
    <w:p>
      <w:r>
        <w:t xml:space="preserve"> 7 体系符合性评价结论（撰写示例）</w:t>
      </w:r>
    </w:p>
    <w:p>
      <w:pPr>
        <w:pStyle w:val="Heading3"/>
      </w:pPr>
    </w:p>
    <w:p>
      <w:r>
        <w:rPr>
          <w:b/>
        </w:rPr>
        <w:t>【合格模板】</w:t>
      </w:r>
      <w:r>
        <w:t>本次审核覆盖 ISO/IEC 17025:2017 全部管理要素与全部检测/校准能力相关过程，共开具不符合项 __ 项（均判为一般不符合，无重大不符合）。经现场验证，体系文件完整、职责明确，关键过程（方法确认、设备溯源、报告控制、投诉处理）运行基本受控。综合判定：实验室管理体系</w:t>
      </w:r>
      <w:r>
        <w:rPr>
          <w:b/>
        </w:rPr>
        <w:t>基本符合</w:t>
      </w:r>
      <w:r>
        <w:t xml:space="preserve"> ISO/IEC 17025:2017 要求，具备持续满足客户与认可机构要求的能力。</w:t>
        <w:br/>
        <w:br/>
        <w:t xml:space="preserve"> </w:t>
      </w:r>
      <w:r>
        <w:rPr>
          <w:b/>
        </w:rPr>
        <w:t>【存在重大不符合时】</w:t>
      </w:r>
      <w:r>
        <w:t>本次审核发现重大不符合 __ 项（涉及 §[ ] 要素整体失效/结果有效性受影响）。在重大不符合未关闭前，不能得出体系符合性结论；待整改验证通过后另行补充评价。 8 体系有效性评价结论（撰写示例——本部分是 §8.8.2 c) 核心要求）</w:t>
      </w:r>
    </w:p>
    <w:p>
      <w:pPr>
        <w:pStyle w:val="Heading3"/>
      </w:pPr>
    </w:p>
    <w:p>
      <w:r>
        <w:rPr>
          <w:b/>
        </w:rPr>
        <w:t>【有效模板】</w:t>
      </w:r>
      <w:r>
        <w:t>就体系在实现质量方针与目标、确保结果有效性方面的</w:t>
      </w:r>
      <w:r>
        <w:rPr>
          <w:b/>
        </w:rPr>
        <w:t>有效性</w:t>
      </w:r>
      <w:r>
        <w:t>评价：① 近两年参加能力验证/实验室间比对 __ 次，结果满意率 __%；② 报告差错率由上年 __% 降至 __%；③ 客户投诉 __ 起，均按期闭环，无重复投诉；④ 上次管评决议 __ 项已落实 __ 项，未落实项已纳入本次跟踪；⑤ 量值溯源覆盖率 100%、设备期间核查按计划完成率 __%。综上，管理体系</w:t>
      </w:r>
      <w:r>
        <w:rPr>
          <w:b/>
        </w:rPr>
        <w:t>持续有效</w:t>
      </w:r>
      <w:r>
        <w:t>，能够实现质量方针与目标、保障检测结果的有效性，能够支撑认可范围持续有效。</w:t>
        <w:br/>
        <w:br/>
        <w:t xml:space="preserve"> </w:t>
      </w:r>
      <w:r>
        <w:rPr>
          <w:b/>
        </w:rPr>
        <w:t>有效性 ≠ 符合性：</w:t>
      </w:r>
      <w:r>
        <w:t>符合性回答"有没有做对"，有效性回答"做了之后目标达没达成"。有效性结论必须引用可量化证据（满意率、差错率、闭环率、完成率），不能只写"运行有效"四个字。 9 改进机会（观察项，不强制开不符合）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序</w:t>
            </w:r>
          </w:p>
        </w:tc>
        <w:tc>
          <w:tcPr>
            <w:tcW w:type="dxa" w:w="0"/>
          </w:tcPr>
          <w:p>
            <w:r>
              <w:t>观察内容</w:t>
            </w:r>
          </w:p>
        </w:tc>
        <w:tc>
          <w:tcPr>
            <w:tcW w:type="dxa" w:w="0"/>
          </w:tcPr>
          <w:p>
            <w:r>
              <w:t>建议责任部门/时机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[如：方法确认记录模板可进一步结构化，便于复核]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[如：人员技能培训矩阵建议纳入年度计划联动]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</w:tr>
    </w:tbl>
    <w:p>
      <w:r>
        <w:t xml:space="preserve"> </w:t>
      </w:r>
    </w:p>
    <w:p>
      <w:pPr>
        <w:pStyle w:val="Heading3"/>
      </w:pPr>
      <w:r>
        <w:t>10 审核结论与后续行动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0"/>
          </w:tcPr>
          <w:p>
            <w:r>
              <w:t>□ 体系符合且有效，推荐继续保持并作为管理评审输入。</w:t>
              <w:br/>
              <w:t xml:space="preserve">□ 存在一般不符合，要求在 </w:t>
              <w:t>[15 工作日]</w:t>
              <w:t xml:space="preserve"> 内提交整改证据，由审核员验证关闭（台账见 IA-06）；整改关闭情况纳入下一周期跟踪。</w:t>
              <w:br/>
              <w:t>□ 存在重大不符合，启动升级处置（LP-02 §5.8），整改完成前暂停相关认可范围推荐。</w:t>
            </w:r>
          </w:p>
        </w:tc>
      </w:tr>
      <w:tr>
        <w:tc>
          <w:tcPr>
            <w:tcW w:type="dxa" w:w="0"/>
          </w:tcPr>
          <w:p>
            <w:r>
              <w:t xml:space="preserve">本报告的后续行动要求已录入 </w:t>
            </w:r>
            <w:r>
              <w:rPr>
                <w:b/>
              </w:rPr>
              <w:t>IA-06 纠正措施跟踪验证表</w:t>
            </w:r>
            <w:r>
              <w:t xml:space="preserve">；审核发现与结论作为 </w:t>
            </w:r>
            <w:r>
              <w:rPr>
                <w:b/>
              </w:rPr>
              <w:t>管理评审输入（§8.9.2 i）</w:t>
            </w:r>
            <w:r>
              <w:t xml:space="preserve"> 提交实验室主任。</w:t>
            </w:r>
          </w:p>
        </w:tc>
      </w:tr>
    </w:tbl>
    <w:p>
      <w:r>
        <w:t xml:space="preserve"> </w:t>
      </w:r>
    </w:p>
    <w:p>
      <w:r>
        <w:t xml:space="preserve"> 第二部分 填写指引</w:t>
      </w:r>
    </w:p>
    <w:p>
      <w:pPr>
        <w:pStyle w:val="Heading2"/>
      </w:pPr>
    </w:p>
    <w:p>
      <w:pPr>
        <w:pStyle w:val="Heading3"/>
      </w:pPr>
      <w:r>
        <w:t>报告与检查表、不符合项报告的分工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文件</w:t>
            </w:r>
          </w:p>
        </w:tc>
        <w:tc>
          <w:tcPr>
            <w:tcW w:type="dxa" w:w="0"/>
          </w:tcPr>
          <w:p>
            <w:r>
              <w:t>承担的角色</w:t>
            </w:r>
          </w:p>
        </w:tc>
      </w:tr>
      <w:tr>
        <w:tc>
          <w:tcPr>
            <w:tcW w:type="dxa" w:w="0"/>
          </w:tcPr>
          <w:p>
            <w:r>
              <w:t>IA-04 检查表</w:t>
            </w:r>
          </w:p>
        </w:tc>
        <w:tc>
          <w:tcPr>
            <w:tcW w:type="dxa" w:w="0"/>
          </w:tcPr>
          <w:p>
            <w:r>
              <w:t>逐条款查证的原始证据（过程记录），不写结论</w:t>
            </w:r>
          </w:p>
        </w:tc>
      </w:tr>
      <w:tr>
        <w:tc>
          <w:tcPr>
            <w:tcW w:type="dxa" w:w="0"/>
          </w:tcPr>
          <w:p>
            <w:r>
              <w:t>FR-24 不符合项报告</w:t>
            </w:r>
          </w:p>
        </w:tc>
        <w:tc>
          <w:tcPr>
            <w:tcW w:type="dxa" w:w="0"/>
          </w:tcPr>
          <w:p>
            <w:r>
              <w:t>单条不符合的事实—原因—措施—验证全链（一票一档）</w:t>
            </w:r>
          </w:p>
        </w:tc>
      </w:tr>
      <w:tr>
        <w:tc>
          <w:tcPr>
            <w:tcW w:type="dxa" w:w="0"/>
          </w:tcPr>
          <w:p>
            <w:r>
              <w:t>IA-05 分布趋势</w:t>
            </w:r>
          </w:p>
        </w:tc>
        <w:tc>
          <w:tcPr>
            <w:tcW w:type="dxa" w:w="0"/>
          </w:tcPr>
          <w:p>
            <w:r>
              <w:t>横向聚合：哪些条款/部门高发、年度是否收敛</w:t>
            </w:r>
          </w:p>
        </w:tc>
      </w:tr>
      <w:tr>
        <w:tc>
          <w:tcPr>
            <w:tcW w:type="dxa" w:w="0"/>
          </w:tcPr>
          <w:p>
            <w:r>
              <w:t>FR-25 本文件</w:t>
            </w:r>
          </w:p>
        </w:tc>
        <w:tc>
          <w:tcPr>
            <w:tcW w:type="dxa" w:w="0"/>
          </w:tcPr>
          <w:p>
            <w:r>
              <w:t>向上汇总：符合性 + 有效性结论 + 改进方向（总输出）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结论写法：好 / 差对照</w:t>
      </w:r>
    </w:p>
    <w:p>
      <w:pPr>
        <w:pStyle w:val="Heading3"/>
      </w:pPr>
    </w:p>
    <w:p>
      <w:r>
        <w:rPr>
          <w:b/>
        </w:rPr>
        <w:t>差：</w:t>
      </w:r>
      <w:r>
        <w:t>「本次内审基本符合，体系运行有效，希望各部门继续保持。」——无范围、无证据、无分级，等于没说，管理评审无法据此决策。</w:t>
      </w:r>
    </w:p>
    <w:p>
      <w:r>
        <w:rPr>
          <w:b/>
        </w:rPr>
        <w:t>好：</w:t>
      </w:r>
      <w:r>
        <w:t>「覆盖 §4–§8 全要素及全部 3 个检测场所；开不符合 5 项（均一般，集中于 §6.4 设备状态标识与 §7.7 报告复核）；能力验证满意率 100%、报告差错率 0.4%（同比降 0.3pp）。综合判定体系符合且持续有效。改进机会 2 项已列入下年计划。报告作为 §8.9.2 i 管评输入。」</w:t>
      </w:r>
    </w:p>
    <w:p>
      <w:r>
        <w:rPr>
          <w:b/>
        </w:rPr>
        <w:t>闭环提示（LP-02 约定）：</w:t>
      </w:r>
      <w:r>
        <w:t>FR-25 是内审阶段交付物，其"后续行动"必须在 IA-06 留痕；所有不符合关闭后，审核组长将本报告的符合性/有效性结论连同 IA-05 趋势一并提交管理评审，构成管评输入第 i 项。内审资料包全套 11 份清单见 IA-00。</w:t>
        <w:t xml:space="preserve"> </w:t>
        <w:t>FR-25 内部审核报告 · LabKitPro 内部审核整套资料包（中文版 v1.0）</w:t>
        <w:br/>
        <w:t>与官网模板库 FR-25 同编号 · 依据 ISO/IEC 17025:2017 §8.8.2 c) 编制 · 付费模板，仅限购买方实验室内部使用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